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Layout w:type="fixed"/>
        <w:tblLook w:val="01E0" w:firstRow="1" w:lastRow="1" w:firstColumn="1" w:lastColumn="1" w:noHBand="0" w:noVBand="0"/>
      </w:tblPr>
      <w:tblGrid>
        <w:gridCol w:w="1548"/>
        <w:gridCol w:w="7560"/>
      </w:tblGrid>
      <w:tr w:rsidR="00E9253F" w:rsidRPr="00D36F18">
        <w:tc>
          <w:tcPr>
            <w:tcW w:w="1548" w:type="dxa"/>
            <w:tcBorders>
              <w:right w:val="single" w:sz="4" w:space="0" w:color="auto"/>
            </w:tcBorders>
          </w:tcPr>
          <w:p w:rsidR="00E9253F" w:rsidRPr="00D36F18" w:rsidRDefault="005C006C" w:rsidP="00CE71A6">
            <w:pPr>
              <w:pStyle w:val="BodyTextIndent2"/>
              <w:ind w:left="360" w:hanging="288"/>
              <w:rPr>
                <w:rFonts w:ascii="Times New Roman" w:hAnsi="Times New Roman"/>
                <w:sz w:val="18"/>
                <w:szCs w:val="18"/>
              </w:rPr>
            </w:pPr>
            <w:bookmarkStart w:id="0" w:name="_GoBack"/>
            <w:bookmarkEnd w:id="0"/>
            <w:r>
              <w:rPr>
                <w:noProof/>
                <w:sz w:val="18"/>
                <w:szCs w:val="18"/>
              </w:rPr>
              <w:drawing>
                <wp:inline distT="0" distB="0" distL="0" distR="0">
                  <wp:extent cx="8477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7560" w:type="dxa"/>
            <w:tcBorders>
              <w:left w:val="single" w:sz="4" w:space="0" w:color="auto"/>
            </w:tcBorders>
          </w:tcPr>
          <w:p w:rsidR="00E9253F" w:rsidRPr="00D36F18" w:rsidRDefault="00E27C78" w:rsidP="00E27C78">
            <w:pPr>
              <w:ind w:right="-1620"/>
              <w:jc w:val="both"/>
              <w:rPr>
                <w:sz w:val="36"/>
                <w:szCs w:val="36"/>
              </w:rPr>
            </w:pPr>
            <w:smartTag w:uri="urn:schemas-microsoft-com:office:smarttags" w:element="place">
              <w:r>
                <w:rPr>
                  <w:sz w:val="36"/>
                  <w:szCs w:val="36"/>
                </w:rPr>
                <w:t>Rutgers</w:t>
              </w:r>
            </w:smartTag>
            <w:r>
              <w:rPr>
                <w:sz w:val="36"/>
                <w:szCs w:val="36"/>
              </w:rPr>
              <w:t xml:space="preserve">, The </w:t>
            </w:r>
            <w:smartTag w:uri="urn:schemas-microsoft-com:office:smarttags" w:element="place">
              <w:smartTag w:uri="urn:schemas-microsoft-com:office:smarttags" w:element="PlaceType">
                <w:r>
                  <w:rPr>
                    <w:sz w:val="36"/>
                    <w:szCs w:val="36"/>
                  </w:rPr>
                  <w:t>State</w:t>
                </w:r>
              </w:smartTag>
              <w:r>
                <w:rPr>
                  <w:sz w:val="36"/>
                  <w:szCs w:val="36"/>
                </w:rPr>
                <w:t xml:space="preserve"> </w:t>
              </w:r>
              <w:smartTag w:uri="urn:schemas-microsoft-com:office:smarttags" w:element="PlaceType">
                <w:r w:rsidR="00D36F18" w:rsidRPr="00D36F18">
                  <w:rPr>
                    <w:sz w:val="36"/>
                    <w:szCs w:val="36"/>
                  </w:rPr>
                  <w:t>University</w:t>
                </w:r>
              </w:smartTag>
            </w:smartTag>
            <w:r w:rsidR="00D36F18" w:rsidRPr="00D36F18">
              <w:rPr>
                <w:sz w:val="36"/>
                <w:szCs w:val="36"/>
              </w:rPr>
              <w:t xml:space="preserve"> of </w:t>
            </w:r>
            <w:smartTag w:uri="urn:schemas-microsoft-com:office:smarttags" w:element="State">
              <w:smartTag w:uri="urn:schemas-microsoft-com:office:smarttags" w:element="place">
                <w:r>
                  <w:rPr>
                    <w:sz w:val="36"/>
                    <w:szCs w:val="36"/>
                  </w:rPr>
                  <w:t>New Jersey</w:t>
                </w:r>
              </w:smartTag>
            </w:smartTag>
          </w:p>
          <w:p w:rsidR="000B2DD7" w:rsidRDefault="00C83D51" w:rsidP="00261E52">
            <w:pPr>
              <w:jc w:val="both"/>
              <w:rPr>
                <w:sz w:val="36"/>
                <w:szCs w:val="36"/>
              </w:rPr>
            </w:pPr>
            <w:r>
              <w:rPr>
                <w:sz w:val="36"/>
                <w:szCs w:val="36"/>
              </w:rPr>
              <w:t>Post Issuance Compliance Policy</w:t>
            </w:r>
          </w:p>
          <w:p w:rsidR="00E9253F" w:rsidRPr="00D36F18" w:rsidRDefault="00C83D51" w:rsidP="00261E52">
            <w:pPr>
              <w:jc w:val="both"/>
              <w:rPr>
                <w:sz w:val="36"/>
                <w:szCs w:val="36"/>
              </w:rPr>
            </w:pPr>
            <w:r>
              <w:rPr>
                <w:sz w:val="36"/>
                <w:szCs w:val="36"/>
              </w:rPr>
              <w:t>November</w:t>
            </w:r>
            <w:r w:rsidR="000B2DD7">
              <w:rPr>
                <w:sz w:val="36"/>
                <w:szCs w:val="36"/>
              </w:rPr>
              <w:t xml:space="preserve"> 201</w:t>
            </w:r>
            <w:r>
              <w:rPr>
                <w:sz w:val="36"/>
                <w:szCs w:val="36"/>
              </w:rPr>
              <w:t>0</w:t>
            </w:r>
            <w:r w:rsidR="001120E5">
              <w:rPr>
                <w:sz w:val="36"/>
                <w:szCs w:val="36"/>
              </w:rPr>
              <w:t xml:space="preserve"> </w:t>
            </w:r>
            <w:r w:rsidR="005C1547">
              <w:rPr>
                <w:sz w:val="36"/>
                <w:szCs w:val="36"/>
              </w:rPr>
              <w:t xml:space="preserve">        </w:t>
            </w:r>
          </w:p>
          <w:p w:rsidR="00E9253F" w:rsidRPr="00D36F18" w:rsidRDefault="00E9253F">
            <w:pPr>
              <w:jc w:val="both"/>
              <w:rPr>
                <w:sz w:val="22"/>
                <w:szCs w:val="22"/>
              </w:rPr>
            </w:pPr>
          </w:p>
        </w:tc>
      </w:tr>
    </w:tbl>
    <w:p w:rsidR="00E9253F" w:rsidRPr="00D36F18" w:rsidRDefault="00E9253F">
      <w:pPr>
        <w:spacing w:after="120"/>
        <w:rPr>
          <w:color w:val="FFCC00"/>
        </w:rPr>
      </w:pPr>
    </w:p>
    <w:p w:rsidR="00E9253F" w:rsidRPr="00D36F18" w:rsidRDefault="00E9253F" w:rsidP="0070592C">
      <w:pPr>
        <w:pBdr>
          <w:bottom w:val="single" w:sz="4" w:space="1" w:color="FFFFFF"/>
        </w:pBdr>
        <w:shd w:val="clear" w:color="auto" w:fill="003366"/>
        <w:tabs>
          <w:tab w:val="left" w:pos="6300"/>
        </w:tabs>
        <w:ind w:left="-86" w:right="4075"/>
        <w:rPr>
          <w:color w:val="FFCC00"/>
        </w:rPr>
      </w:pPr>
      <w:r w:rsidRPr="00D36F18">
        <w:rPr>
          <w:color w:val="FFCC00"/>
        </w:rPr>
        <w:t>Table of Contents</w:t>
      </w:r>
      <w:r w:rsidR="00D57925">
        <w:rPr>
          <w:color w:val="FFCC00"/>
        </w:rPr>
        <w:t xml:space="preserve">    </w:t>
      </w:r>
    </w:p>
    <w:tbl>
      <w:tblPr>
        <w:tblW w:w="12355" w:type="dxa"/>
        <w:tblLook w:val="01E0" w:firstRow="1" w:lastRow="1" w:firstColumn="1" w:lastColumn="1" w:noHBand="0" w:noVBand="0"/>
      </w:tblPr>
      <w:tblGrid>
        <w:gridCol w:w="5958"/>
        <w:gridCol w:w="6397"/>
      </w:tblGrid>
      <w:tr w:rsidR="00E9253F" w:rsidRPr="00D36F18" w:rsidTr="000B2DD7">
        <w:tc>
          <w:tcPr>
            <w:tcW w:w="5958" w:type="dxa"/>
            <w:tcBorders>
              <w:top w:val="single" w:sz="4" w:space="0" w:color="999999"/>
              <w:left w:val="single" w:sz="4" w:space="0" w:color="999999"/>
              <w:bottom w:val="single" w:sz="4" w:space="0" w:color="999999"/>
              <w:right w:val="single" w:sz="4" w:space="0" w:color="999999"/>
            </w:tcBorders>
            <w:shd w:val="clear" w:color="auto" w:fill="E8E8E8"/>
          </w:tcPr>
          <w:p w:rsidR="00E9253F" w:rsidRPr="00D36F18" w:rsidRDefault="00B73C71" w:rsidP="00A73480">
            <w:pPr>
              <w:pStyle w:val="BodyTextIndent2"/>
              <w:tabs>
                <w:tab w:val="left" w:pos="390"/>
                <w:tab w:val="left" w:pos="720"/>
                <w:tab w:val="right" w:leader="dot" w:pos="5760"/>
              </w:tabs>
              <w:ind w:left="72"/>
              <w:rPr>
                <w:rFonts w:ascii="Times New Roman" w:hAnsi="Times New Roman"/>
                <w:sz w:val="28"/>
                <w:szCs w:val="28"/>
              </w:rPr>
            </w:pPr>
            <w:r>
              <w:rPr>
                <w:rFonts w:ascii="Times New Roman" w:hAnsi="Times New Roman"/>
                <w:sz w:val="28"/>
                <w:szCs w:val="28"/>
              </w:rPr>
              <w:t xml:space="preserve">I. </w:t>
            </w:r>
            <w:r w:rsidR="003768FF">
              <w:rPr>
                <w:rFonts w:ascii="Times New Roman" w:hAnsi="Times New Roman"/>
                <w:sz w:val="28"/>
                <w:szCs w:val="28"/>
              </w:rPr>
              <w:t xml:space="preserve">   </w:t>
            </w:r>
            <w:r w:rsidR="00E27C78">
              <w:rPr>
                <w:rFonts w:ascii="Times New Roman" w:hAnsi="Times New Roman"/>
                <w:sz w:val="28"/>
                <w:szCs w:val="28"/>
              </w:rPr>
              <w:t xml:space="preserve">  </w:t>
            </w:r>
            <w:r w:rsidR="000B2DD7">
              <w:rPr>
                <w:rFonts w:ascii="Times New Roman" w:hAnsi="Times New Roman"/>
                <w:sz w:val="28"/>
                <w:szCs w:val="28"/>
              </w:rPr>
              <w:t>Purpose of Policy</w:t>
            </w:r>
            <w:r w:rsidR="00F970C3">
              <w:rPr>
                <w:rFonts w:ascii="Times New Roman" w:hAnsi="Times New Roman"/>
                <w:sz w:val="28"/>
                <w:szCs w:val="28"/>
              </w:rPr>
              <w:tab/>
            </w:r>
            <w:r w:rsidR="00F02300">
              <w:rPr>
                <w:rFonts w:ascii="Times New Roman" w:hAnsi="Times New Roman"/>
                <w:sz w:val="28"/>
                <w:szCs w:val="28"/>
              </w:rPr>
              <w:t>2</w:t>
            </w:r>
          </w:p>
          <w:p w:rsidR="00E9253F" w:rsidRPr="00D36F18" w:rsidRDefault="00B73C71" w:rsidP="00A73480">
            <w:pPr>
              <w:pStyle w:val="BodyTextIndent2"/>
              <w:tabs>
                <w:tab w:val="left" w:pos="390"/>
                <w:tab w:val="left" w:pos="720"/>
                <w:tab w:val="right" w:leader="dot" w:pos="5760"/>
              </w:tabs>
              <w:ind w:left="72"/>
              <w:jc w:val="both"/>
              <w:rPr>
                <w:rFonts w:ascii="Times New Roman" w:hAnsi="Times New Roman"/>
                <w:sz w:val="28"/>
                <w:szCs w:val="28"/>
              </w:rPr>
            </w:pPr>
            <w:r>
              <w:rPr>
                <w:rFonts w:ascii="Times New Roman" w:hAnsi="Times New Roman"/>
                <w:sz w:val="28"/>
                <w:szCs w:val="28"/>
              </w:rPr>
              <w:t xml:space="preserve">II. </w:t>
            </w:r>
            <w:r w:rsidR="003768FF">
              <w:rPr>
                <w:rFonts w:ascii="Times New Roman" w:hAnsi="Times New Roman"/>
                <w:sz w:val="28"/>
                <w:szCs w:val="28"/>
              </w:rPr>
              <w:t xml:space="preserve">  </w:t>
            </w:r>
            <w:r w:rsidR="00E27C78">
              <w:rPr>
                <w:rFonts w:ascii="Times New Roman" w:hAnsi="Times New Roman"/>
                <w:sz w:val="28"/>
                <w:szCs w:val="28"/>
              </w:rPr>
              <w:t xml:space="preserve">  </w:t>
            </w:r>
            <w:r w:rsidR="000B2DD7">
              <w:rPr>
                <w:rFonts w:ascii="Times New Roman" w:hAnsi="Times New Roman"/>
                <w:sz w:val="28"/>
                <w:szCs w:val="28"/>
              </w:rPr>
              <w:t>Scope of Policy</w:t>
            </w:r>
            <w:r w:rsidR="00F970C3">
              <w:rPr>
                <w:rFonts w:ascii="Times New Roman" w:hAnsi="Times New Roman"/>
                <w:sz w:val="28"/>
                <w:szCs w:val="28"/>
              </w:rPr>
              <w:tab/>
            </w:r>
            <w:r w:rsidR="00F02300">
              <w:rPr>
                <w:rFonts w:ascii="Times New Roman" w:hAnsi="Times New Roman"/>
                <w:sz w:val="28"/>
                <w:szCs w:val="28"/>
              </w:rPr>
              <w:t>2</w:t>
            </w:r>
          </w:p>
          <w:p w:rsidR="001901E3" w:rsidRPr="00D36F18" w:rsidRDefault="00713FD1" w:rsidP="00A73480">
            <w:pPr>
              <w:pStyle w:val="BodyTextIndent2"/>
              <w:tabs>
                <w:tab w:val="left" w:pos="390"/>
                <w:tab w:val="left" w:pos="720"/>
                <w:tab w:val="right" w:leader="dot" w:pos="5760"/>
                <w:tab w:val="right" w:leader="dot" w:pos="6480"/>
              </w:tabs>
              <w:ind w:left="72"/>
              <w:jc w:val="both"/>
              <w:rPr>
                <w:rFonts w:ascii="Times New Roman" w:hAnsi="Times New Roman"/>
                <w:sz w:val="28"/>
                <w:szCs w:val="28"/>
              </w:rPr>
            </w:pPr>
            <w:r>
              <w:rPr>
                <w:rFonts w:ascii="Times New Roman" w:hAnsi="Times New Roman"/>
                <w:sz w:val="28"/>
                <w:szCs w:val="28"/>
              </w:rPr>
              <w:t xml:space="preserve">III. </w:t>
            </w:r>
            <w:r w:rsidR="003768FF">
              <w:rPr>
                <w:rFonts w:ascii="Times New Roman" w:hAnsi="Times New Roman"/>
                <w:sz w:val="28"/>
                <w:szCs w:val="28"/>
              </w:rPr>
              <w:t xml:space="preserve"> </w:t>
            </w:r>
            <w:r w:rsidR="00E27C78">
              <w:rPr>
                <w:rFonts w:ascii="Times New Roman" w:hAnsi="Times New Roman"/>
                <w:sz w:val="28"/>
                <w:szCs w:val="28"/>
              </w:rPr>
              <w:t xml:space="preserve">  </w:t>
            </w:r>
            <w:r w:rsidR="000B2DD7">
              <w:rPr>
                <w:rFonts w:ascii="Times New Roman" w:hAnsi="Times New Roman"/>
                <w:sz w:val="28"/>
                <w:szCs w:val="28"/>
              </w:rPr>
              <w:t>Debt Issuance Process</w:t>
            </w:r>
            <w:r w:rsidR="00F970C3">
              <w:rPr>
                <w:rFonts w:ascii="Times New Roman" w:hAnsi="Times New Roman"/>
                <w:sz w:val="28"/>
                <w:szCs w:val="28"/>
              </w:rPr>
              <w:tab/>
            </w:r>
            <w:r w:rsidR="002241C5">
              <w:rPr>
                <w:rFonts w:ascii="Times New Roman" w:hAnsi="Times New Roman"/>
                <w:sz w:val="28"/>
                <w:szCs w:val="28"/>
              </w:rPr>
              <w:t>2</w:t>
            </w:r>
          </w:p>
          <w:p w:rsidR="003768FF" w:rsidRDefault="00E27C78" w:rsidP="00E27C78">
            <w:pPr>
              <w:pStyle w:val="BodyTextIndent2"/>
              <w:tabs>
                <w:tab w:val="left" w:pos="390"/>
                <w:tab w:val="left" w:pos="525"/>
                <w:tab w:val="left" w:pos="645"/>
                <w:tab w:val="left" w:pos="720"/>
                <w:tab w:val="right" w:leader="dot" w:pos="5760"/>
                <w:tab w:val="right" w:leader="dot" w:pos="6480"/>
              </w:tabs>
              <w:ind w:left="72"/>
              <w:jc w:val="both"/>
              <w:rPr>
                <w:rFonts w:ascii="Times New Roman" w:hAnsi="Times New Roman"/>
                <w:sz w:val="28"/>
                <w:szCs w:val="28"/>
              </w:rPr>
            </w:pPr>
            <w:r>
              <w:rPr>
                <w:rFonts w:ascii="Times New Roman" w:hAnsi="Times New Roman"/>
                <w:sz w:val="28"/>
                <w:szCs w:val="28"/>
              </w:rPr>
              <w:t>IV</w:t>
            </w:r>
            <w:r w:rsidR="003768FF">
              <w:rPr>
                <w:rFonts w:ascii="Times New Roman" w:hAnsi="Times New Roman"/>
                <w:sz w:val="28"/>
                <w:szCs w:val="28"/>
              </w:rPr>
              <w:t xml:space="preserve">. </w:t>
            </w:r>
            <w:r>
              <w:rPr>
                <w:rFonts w:ascii="Times New Roman" w:hAnsi="Times New Roman"/>
                <w:sz w:val="28"/>
                <w:szCs w:val="28"/>
              </w:rPr>
              <w:t xml:space="preserve">   </w:t>
            </w:r>
            <w:r w:rsidR="000B2DD7">
              <w:rPr>
                <w:rFonts w:ascii="Times New Roman" w:hAnsi="Times New Roman"/>
                <w:sz w:val="28"/>
                <w:szCs w:val="28"/>
              </w:rPr>
              <w:t>Proceeds Tracking</w:t>
            </w:r>
            <w:r>
              <w:rPr>
                <w:rFonts w:ascii="Times New Roman" w:hAnsi="Times New Roman"/>
                <w:sz w:val="28"/>
                <w:szCs w:val="28"/>
              </w:rPr>
              <w:t xml:space="preserve"> </w:t>
            </w:r>
            <w:r w:rsidR="003768FF">
              <w:rPr>
                <w:rFonts w:ascii="Times New Roman" w:hAnsi="Times New Roman"/>
                <w:sz w:val="28"/>
                <w:szCs w:val="28"/>
              </w:rPr>
              <w:t>…………...</w:t>
            </w:r>
            <w:r w:rsidR="003768FF">
              <w:rPr>
                <w:rFonts w:ascii="Times New Roman" w:hAnsi="Times New Roman"/>
                <w:sz w:val="28"/>
                <w:szCs w:val="28"/>
              </w:rPr>
              <w:tab/>
            </w:r>
            <w:r w:rsidR="002241C5">
              <w:rPr>
                <w:rFonts w:ascii="Times New Roman" w:hAnsi="Times New Roman"/>
                <w:sz w:val="28"/>
                <w:szCs w:val="28"/>
              </w:rPr>
              <w:t>2</w:t>
            </w:r>
          </w:p>
          <w:p w:rsidR="003768FF" w:rsidRDefault="003768FF" w:rsidP="00A73480">
            <w:pPr>
              <w:pStyle w:val="BodyTextIndent2"/>
              <w:tabs>
                <w:tab w:val="left" w:pos="390"/>
                <w:tab w:val="left" w:pos="720"/>
                <w:tab w:val="right" w:leader="dot" w:pos="5760"/>
                <w:tab w:val="right" w:leader="dot" w:pos="6480"/>
              </w:tabs>
              <w:ind w:left="72"/>
              <w:jc w:val="both"/>
              <w:rPr>
                <w:rFonts w:ascii="Times New Roman" w:hAnsi="Times New Roman"/>
                <w:sz w:val="28"/>
                <w:szCs w:val="28"/>
              </w:rPr>
            </w:pPr>
            <w:r>
              <w:rPr>
                <w:rFonts w:ascii="Times New Roman" w:hAnsi="Times New Roman"/>
                <w:sz w:val="28"/>
                <w:szCs w:val="28"/>
              </w:rPr>
              <w:t xml:space="preserve">V.   </w:t>
            </w:r>
            <w:r w:rsidR="00E27C78">
              <w:rPr>
                <w:rFonts w:ascii="Times New Roman" w:hAnsi="Times New Roman"/>
                <w:sz w:val="28"/>
                <w:szCs w:val="28"/>
              </w:rPr>
              <w:t xml:space="preserve">  </w:t>
            </w:r>
            <w:r w:rsidR="000B2DD7">
              <w:rPr>
                <w:rFonts w:ascii="Times New Roman" w:hAnsi="Times New Roman"/>
                <w:sz w:val="28"/>
                <w:szCs w:val="28"/>
              </w:rPr>
              <w:t>Maintaining Detailed Records</w:t>
            </w:r>
            <w:r w:rsidR="00F7622E">
              <w:rPr>
                <w:rFonts w:ascii="Times New Roman" w:hAnsi="Times New Roman"/>
                <w:sz w:val="28"/>
                <w:szCs w:val="28"/>
              </w:rPr>
              <w:tab/>
            </w:r>
            <w:r w:rsidR="002241C5">
              <w:rPr>
                <w:rFonts w:ascii="Times New Roman" w:hAnsi="Times New Roman"/>
                <w:sz w:val="28"/>
                <w:szCs w:val="28"/>
              </w:rPr>
              <w:t>3</w:t>
            </w:r>
          </w:p>
          <w:p w:rsidR="00E9253F" w:rsidRDefault="003768FF" w:rsidP="00A73480">
            <w:pPr>
              <w:pStyle w:val="BodyTextIndent2"/>
              <w:tabs>
                <w:tab w:val="left" w:pos="390"/>
                <w:tab w:val="left" w:pos="720"/>
                <w:tab w:val="right" w:leader="dot" w:pos="5760"/>
                <w:tab w:val="right" w:leader="dot" w:pos="6480"/>
              </w:tabs>
              <w:ind w:left="72"/>
              <w:jc w:val="both"/>
              <w:rPr>
                <w:rFonts w:ascii="Times New Roman" w:hAnsi="Times New Roman"/>
                <w:sz w:val="28"/>
                <w:szCs w:val="28"/>
              </w:rPr>
            </w:pPr>
            <w:r>
              <w:rPr>
                <w:rFonts w:ascii="Times New Roman" w:hAnsi="Times New Roman"/>
                <w:sz w:val="28"/>
                <w:szCs w:val="28"/>
              </w:rPr>
              <w:t xml:space="preserve">VI.  </w:t>
            </w:r>
            <w:r w:rsidR="00E27C78">
              <w:rPr>
                <w:rFonts w:ascii="Times New Roman" w:hAnsi="Times New Roman"/>
                <w:sz w:val="28"/>
                <w:szCs w:val="28"/>
              </w:rPr>
              <w:t xml:space="preserve">  </w:t>
            </w:r>
            <w:r w:rsidR="000B2DD7">
              <w:rPr>
                <w:rFonts w:ascii="Times New Roman" w:hAnsi="Times New Roman"/>
                <w:sz w:val="28"/>
                <w:szCs w:val="28"/>
              </w:rPr>
              <w:t>Private Business Use</w:t>
            </w:r>
            <w:r w:rsidR="00F7622E">
              <w:rPr>
                <w:rFonts w:ascii="Times New Roman" w:hAnsi="Times New Roman"/>
                <w:sz w:val="28"/>
                <w:szCs w:val="28"/>
              </w:rPr>
              <w:tab/>
            </w:r>
            <w:r w:rsidR="002241C5">
              <w:rPr>
                <w:rFonts w:ascii="Times New Roman" w:hAnsi="Times New Roman"/>
                <w:sz w:val="28"/>
                <w:szCs w:val="28"/>
              </w:rPr>
              <w:t>3</w:t>
            </w:r>
          </w:p>
          <w:p w:rsidR="000B2DD7" w:rsidRDefault="002241C5" w:rsidP="000B2DD7">
            <w:pPr>
              <w:pStyle w:val="BodyTextIndent2"/>
              <w:tabs>
                <w:tab w:val="left" w:pos="390"/>
                <w:tab w:val="left" w:pos="720"/>
                <w:tab w:val="right" w:leader="dot" w:pos="5760"/>
                <w:tab w:val="right" w:leader="dot" w:pos="6480"/>
              </w:tabs>
              <w:ind w:left="72"/>
              <w:jc w:val="both"/>
              <w:rPr>
                <w:rFonts w:ascii="Times New Roman" w:hAnsi="Times New Roman"/>
                <w:sz w:val="28"/>
                <w:szCs w:val="28"/>
              </w:rPr>
            </w:pPr>
            <w:r>
              <w:rPr>
                <w:rFonts w:ascii="Times New Roman" w:hAnsi="Times New Roman"/>
                <w:sz w:val="28"/>
                <w:szCs w:val="28"/>
              </w:rPr>
              <w:t>VII.  Disclosure and Filings</w:t>
            </w:r>
            <w:r>
              <w:rPr>
                <w:rFonts w:ascii="Times New Roman" w:hAnsi="Times New Roman"/>
                <w:sz w:val="28"/>
                <w:szCs w:val="28"/>
              </w:rPr>
              <w:tab/>
              <w:t>4</w:t>
            </w:r>
          </w:p>
          <w:p w:rsidR="000B2DD7" w:rsidRDefault="002241C5" w:rsidP="000B2DD7">
            <w:pPr>
              <w:pStyle w:val="BodyTextIndent2"/>
              <w:tabs>
                <w:tab w:val="left" w:pos="390"/>
                <w:tab w:val="left" w:pos="720"/>
                <w:tab w:val="right" w:leader="dot" w:pos="5760"/>
                <w:tab w:val="right" w:leader="dot" w:pos="6480"/>
              </w:tabs>
              <w:ind w:left="72"/>
              <w:jc w:val="both"/>
              <w:rPr>
                <w:rFonts w:ascii="Times New Roman" w:hAnsi="Times New Roman"/>
                <w:sz w:val="28"/>
                <w:szCs w:val="28"/>
              </w:rPr>
            </w:pPr>
            <w:r>
              <w:rPr>
                <w:rFonts w:ascii="Times New Roman" w:hAnsi="Times New Roman"/>
                <w:sz w:val="28"/>
                <w:szCs w:val="28"/>
              </w:rPr>
              <w:t>VIII. Data Management</w:t>
            </w:r>
            <w:r>
              <w:rPr>
                <w:rFonts w:ascii="Times New Roman" w:hAnsi="Times New Roman"/>
                <w:sz w:val="28"/>
                <w:szCs w:val="28"/>
              </w:rPr>
              <w:tab/>
              <w:t>4</w:t>
            </w:r>
          </w:p>
          <w:p w:rsidR="000B2DD7" w:rsidRDefault="000B2DD7" w:rsidP="000B2DD7">
            <w:pPr>
              <w:pStyle w:val="BodyTextIndent2"/>
              <w:tabs>
                <w:tab w:val="left" w:pos="390"/>
                <w:tab w:val="left" w:pos="720"/>
                <w:tab w:val="right" w:leader="dot" w:pos="5760"/>
                <w:tab w:val="right" w:leader="dot" w:pos="6480"/>
              </w:tabs>
              <w:ind w:left="72"/>
              <w:jc w:val="both"/>
              <w:rPr>
                <w:rFonts w:ascii="Times New Roman" w:hAnsi="Times New Roman"/>
                <w:sz w:val="28"/>
                <w:szCs w:val="28"/>
              </w:rPr>
            </w:pPr>
            <w:r>
              <w:rPr>
                <w:rFonts w:ascii="Times New Roman" w:hAnsi="Times New Roman"/>
                <w:sz w:val="28"/>
                <w:szCs w:val="28"/>
              </w:rPr>
              <w:t xml:space="preserve">IX.   </w:t>
            </w:r>
            <w:r w:rsidR="002241C5">
              <w:rPr>
                <w:rFonts w:ascii="Times New Roman" w:hAnsi="Times New Roman"/>
                <w:sz w:val="28"/>
                <w:szCs w:val="28"/>
              </w:rPr>
              <w:t xml:space="preserve"> Continuity and Ongoing Review</w:t>
            </w:r>
            <w:r w:rsidR="002241C5">
              <w:rPr>
                <w:rFonts w:ascii="Times New Roman" w:hAnsi="Times New Roman"/>
                <w:sz w:val="28"/>
                <w:szCs w:val="28"/>
              </w:rPr>
              <w:tab/>
              <w:t>4</w:t>
            </w:r>
          </w:p>
          <w:p w:rsidR="000B2DD7" w:rsidRPr="00D36F18" w:rsidRDefault="000B2DD7" w:rsidP="00A73480">
            <w:pPr>
              <w:pStyle w:val="BodyTextIndent2"/>
              <w:tabs>
                <w:tab w:val="left" w:pos="390"/>
                <w:tab w:val="left" w:pos="720"/>
                <w:tab w:val="right" w:leader="dot" w:pos="5760"/>
                <w:tab w:val="right" w:leader="dot" w:pos="6480"/>
              </w:tabs>
              <w:ind w:left="72"/>
              <w:jc w:val="both"/>
              <w:rPr>
                <w:rFonts w:ascii="Times New Roman" w:hAnsi="Times New Roman"/>
                <w:sz w:val="28"/>
                <w:szCs w:val="28"/>
              </w:rPr>
            </w:pPr>
          </w:p>
          <w:p w:rsidR="0070592C" w:rsidRDefault="0070592C" w:rsidP="00E27C78">
            <w:pPr>
              <w:pStyle w:val="BodyTextIndent2"/>
              <w:tabs>
                <w:tab w:val="left" w:pos="390"/>
                <w:tab w:val="left" w:pos="720"/>
                <w:tab w:val="right" w:leader="dot" w:pos="5760"/>
                <w:tab w:val="right" w:leader="dot" w:pos="6480"/>
              </w:tabs>
              <w:ind w:left="72"/>
              <w:jc w:val="both"/>
              <w:rPr>
                <w:rFonts w:ascii="Times New Roman" w:hAnsi="Times New Roman"/>
                <w:sz w:val="28"/>
                <w:szCs w:val="28"/>
              </w:rPr>
            </w:pPr>
          </w:p>
          <w:p w:rsidR="00387F0E" w:rsidRPr="00D36F18" w:rsidRDefault="00387F0E" w:rsidP="0070592C">
            <w:pPr>
              <w:pStyle w:val="BodyTextIndent2"/>
              <w:tabs>
                <w:tab w:val="right" w:leader="dot" w:pos="5760"/>
                <w:tab w:val="right" w:leader="dot" w:pos="6480"/>
              </w:tabs>
              <w:ind w:left="72"/>
              <w:jc w:val="both"/>
              <w:rPr>
                <w:rFonts w:ascii="Times New Roman" w:hAnsi="Times New Roman"/>
                <w:sz w:val="28"/>
                <w:szCs w:val="28"/>
              </w:rPr>
            </w:pPr>
          </w:p>
          <w:p w:rsidR="0034134F" w:rsidRPr="00D36F18" w:rsidRDefault="0034134F" w:rsidP="000B2DD7">
            <w:pPr>
              <w:pStyle w:val="BodyTextIndent2"/>
              <w:tabs>
                <w:tab w:val="right" w:leader="dot" w:pos="5760"/>
                <w:tab w:val="right" w:leader="dot" w:pos="6480"/>
              </w:tabs>
              <w:ind w:left="72"/>
              <w:jc w:val="both"/>
              <w:rPr>
                <w:rFonts w:ascii="Times New Roman" w:hAnsi="Times New Roman"/>
                <w:sz w:val="28"/>
                <w:szCs w:val="28"/>
              </w:rPr>
            </w:pPr>
          </w:p>
        </w:tc>
        <w:tc>
          <w:tcPr>
            <w:tcW w:w="6397" w:type="dxa"/>
            <w:tcBorders>
              <w:left w:val="single" w:sz="4" w:space="0" w:color="999999"/>
            </w:tcBorders>
          </w:tcPr>
          <w:p w:rsidR="00E9253F" w:rsidRPr="00D36F18" w:rsidRDefault="0034134F">
            <w:pPr>
              <w:jc w:val="both"/>
              <w:rPr>
                <w:sz w:val="22"/>
                <w:szCs w:val="22"/>
              </w:rPr>
            </w:pPr>
            <w:r>
              <w:rPr>
                <w:sz w:val="22"/>
                <w:szCs w:val="22"/>
              </w:rPr>
              <w:t xml:space="preserve">  </w:t>
            </w:r>
          </w:p>
        </w:tc>
      </w:tr>
      <w:tr w:rsidR="0034134F" w:rsidRPr="00D36F18" w:rsidTr="000B2DD7">
        <w:tc>
          <w:tcPr>
            <w:tcW w:w="5958" w:type="dxa"/>
            <w:tcBorders>
              <w:top w:val="single" w:sz="4" w:space="0" w:color="999999"/>
              <w:left w:val="single" w:sz="4" w:space="0" w:color="999999"/>
              <w:bottom w:val="single" w:sz="4" w:space="0" w:color="999999"/>
              <w:right w:val="single" w:sz="4" w:space="0" w:color="999999"/>
            </w:tcBorders>
            <w:shd w:val="clear" w:color="auto" w:fill="E8E8E8"/>
          </w:tcPr>
          <w:p w:rsidR="0034134F" w:rsidRPr="00D36F18" w:rsidRDefault="0034134F" w:rsidP="0070592C">
            <w:pPr>
              <w:pStyle w:val="BodyTextIndent2"/>
              <w:tabs>
                <w:tab w:val="right" w:leader="dot" w:pos="5760"/>
              </w:tabs>
              <w:ind w:left="72"/>
              <w:rPr>
                <w:rFonts w:ascii="Times New Roman" w:hAnsi="Times New Roman"/>
                <w:sz w:val="28"/>
                <w:szCs w:val="28"/>
              </w:rPr>
            </w:pPr>
          </w:p>
        </w:tc>
        <w:tc>
          <w:tcPr>
            <w:tcW w:w="6397" w:type="dxa"/>
            <w:tcBorders>
              <w:left w:val="single" w:sz="4" w:space="0" w:color="999999"/>
            </w:tcBorders>
          </w:tcPr>
          <w:p w:rsidR="0034134F" w:rsidRDefault="0034134F">
            <w:pPr>
              <w:jc w:val="both"/>
              <w:rPr>
                <w:sz w:val="22"/>
                <w:szCs w:val="22"/>
              </w:rPr>
            </w:pPr>
          </w:p>
        </w:tc>
      </w:tr>
    </w:tbl>
    <w:p w:rsidR="00E9253F" w:rsidRPr="00D36F18" w:rsidRDefault="00E9253F">
      <w:pPr>
        <w:spacing w:after="120"/>
        <w:rPr>
          <w:color w:val="FFCC00"/>
        </w:rPr>
      </w:pPr>
    </w:p>
    <w:p w:rsidR="00E9253F" w:rsidRPr="00D36F18" w:rsidRDefault="00E9253F">
      <w:pPr>
        <w:spacing w:after="120"/>
        <w:ind w:right="7020"/>
        <w:rPr>
          <w:color w:val="FFCC00"/>
        </w:rPr>
      </w:pPr>
    </w:p>
    <w:p w:rsidR="00E9253F" w:rsidRPr="00D36F18" w:rsidRDefault="00E9253F">
      <w:pPr>
        <w:spacing w:after="120"/>
        <w:ind w:right="7020"/>
        <w:rPr>
          <w:color w:val="FFCC00"/>
        </w:rPr>
      </w:pPr>
    </w:p>
    <w:p w:rsidR="00E9253F" w:rsidRPr="00D36F18" w:rsidRDefault="00E9253F">
      <w:pPr>
        <w:spacing w:after="120"/>
        <w:ind w:right="7020"/>
        <w:rPr>
          <w:color w:val="FFCC00"/>
        </w:rPr>
      </w:pPr>
    </w:p>
    <w:p w:rsidR="00E9253F" w:rsidRPr="00D36F18" w:rsidRDefault="00E9253F">
      <w:pPr>
        <w:spacing w:after="120"/>
        <w:ind w:right="7020"/>
        <w:rPr>
          <w:color w:val="FFCC00"/>
        </w:rPr>
      </w:pPr>
    </w:p>
    <w:p w:rsidR="00E9253F" w:rsidRPr="00D36F18" w:rsidRDefault="00E9253F">
      <w:pPr>
        <w:spacing w:after="120"/>
        <w:ind w:right="7020"/>
        <w:rPr>
          <w:color w:val="FFCC00"/>
        </w:rPr>
      </w:pPr>
    </w:p>
    <w:p w:rsidR="00E9253F" w:rsidRPr="00D36F18" w:rsidRDefault="00E9253F">
      <w:pPr>
        <w:spacing w:after="120"/>
        <w:ind w:right="7020"/>
        <w:rPr>
          <w:color w:val="FFCC00"/>
        </w:rPr>
      </w:pPr>
    </w:p>
    <w:p w:rsidR="00E9253F" w:rsidRDefault="00E9253F">
      <w:pPr>
        <w:spacing w:after="120"/>
        <w:ind w:right="7020"/>
        <w:rPr>
          <w:color w:val="FFCC00"/>
        </w:rPr>
      </w:pPr>
    </w:p>
    <w:p w:rsidR="00F40B41" w:rsidRDefault="00F40B41">
      <w:pPr>
        <w:spacing w:after="120"/>
        <w:ind w:right="7020"/>
        <w:rPr>
          <w:color w:val="FFCC00"/>
        </w:rPr>
      </w:pPr>
    </w:p>
    <w:p w:rsidR="00F40B41" w:rsidRDefault="00F40B41">
      <w:pPr>
        <w:spacing w:after="120"/>
        <w:ind w:right="7020"/>
        <w:rPr>
          <w:color w:val="FFCC00"/>
        </w:rPr>
      </w:pPr>
    </w:p>
    <w:p w:rsidR="00F40B41" w:rsidRDefault="00F40B41">
      <w:pPr>
        <w:spacing w:after="120"/>
        <w:ind w:right="7020"/>
        <w:rPr>
          <w:color w:val="FFCC00"/>
        </w:rPr>
      </w:pPr>
    </w:p>
    <w:p w:rsidR="00F40B41" w:rsidRDefault="00E27C78">
      <w:pPr>
        <w:spacing w:after="120"/>
        <w:ind w:right="7020"/>
        <w:rPr>
          <w:color w:val="FFCC00"/>
        </w:rPr>
      </w:pPr>
      <w:r>
        <w:rPr>
          <w:color w:val="FFCC00"/>
        </w:rPr>
        <w:br w:type="page"/>
      </w:r>
    </w:p>
    <w:p w:rsidR="00E9253F" w:rsidRPr="00F40B41" w:rsidRDefault="002E6D10" w:rsidP="00F40B41">
      <w:pPr>
        <w:pBdr>
          <w:bottom w:val="single" w:sz="4" w:space="1" w:color="FFFFFF"/>
        </w:pBdr>
        <w:shd w:val="clear" w:color="auto" w:fill="003366"/>
        <w:tabs>
          <w:tab w:val="left" w:pos="6300"/>
        </w:tabs>
        <w:ind w:left="-86"/>
        <w:rPr>
          <w:color w:val="FFCC00"/>
        </w:rPr>
      </w:pPr>
      <w:r>
        <w:rPr>
          <w:color w:val="FFCC00"/>
        </w:rPr>
        <w:lastRenderedPageBreak/>
        <w:t xml:space="preserve">I. </w:t>
      </w:r>
      <w:r w:rsidR="000B2DD7">
        <w:rPr>
          <w:color w:val="FFCC00"/>
        </w:rPr>
        <w:t>Purpose of Policy</w:t>
      </w:r>
    </w:p>
    <w:tbl>
      <w:tblPr>
        <w:tblW w:w="7920" w:type="dxa"/>
        <w:tblInd w:w="1998" w:type="dxa"/>
        <w:tblBorders>
          <w:top w:val="single" w:sz="4" w:space="0" w:color="336699"/>
          <w:left w:val="single" w:sz="4" w:space="0" w:color="336699"/>
          <w:bottom w:val="single" w:sz="4" w:space="0" w:color="336699"/>
          <w:right w:val="single" w:sz="4" w:space="0" w:color="336699"/>
        </w:tblBorders>
        <w:tblLook w:val="01E0" w:firstRow="1" w:lastRow="1" w:firstColumn="1" w:lastColumn="1" w:noHBand="0" w:noVBand="0"/>
      </w:tblPr>
      <w:tblGrid>
        <w:gridCol w:w="7920"/>
      </w:tblGrid>
      <w:tr w:rsidR="003C788B" w:rsidRPr="00D36F18" w:rsidTr="00D81226">
        <w:tc>
          <w:tcPr>
            <w:tcW w:w="7920" w:type="dxa"/>
            <w:tcBorders>
              <w:top w:val="nil"/>
              <w:left w:val="nil"/>
              <w:bottom w:val="nil"/>
              <w:right w:val="nil"/>
            </w:tcBorders>
          </w:tcPr>
          <w:p w:rsidR="003C788B" w:rsidRPr="000B2DD7" w:rsidRDefault="003C788B" w:rsidP="009B287B">
            <w:pPr>
              <w:pBdr>
                <w:left w:val="single" w:sz="4" w:space="4" w:color="A6A6A6" w:themeColor="background1" w:themeShade="A6"/>
              </w:pBdr>
              <w:jc w:val="both"/>
              <w:rPr>
                <w:sz w:val="20"/>
                <w:szCs w:val="20"/>
              </w:rPr>
            </w:pPr>
            <w:r w:rsidRPr="000B2DD7">
              <w:rPr>
                <w:sz w:val="20"/>
                <w:szCs w:val="20"/>
              </w:rPr>
              <w:t>The University recognizes that tax-advantaged debt is a perpetual component of the University’s capitalization due in part to its substantial cost benefits.  Therefore, the University</w:t>
            </w:r>
            <w:r w:rsidR="00EE444C">
              <w:rPr>
                <w:sz w:val="20"/>
                <w:szCs w:val="20"/>
              </w:rPr>
              <w:t xml:space="preserve"> has</w:t>
            </w:r>
            <w:r w:rsidRPr="000B2DD7">
              <w:rPr>
                <w:sz w:val="20"/>
                <w:szCs w:val="20"/>
              </w:rPr>
              <w:t xml:space="preserve"> managed the debt portfolio to maximize its utilization of tax-advantaged debt relative to fully taxable debt whenever possible.  In all circumstances, however, the individual projects continue to be identified and tracked to ensure compliance for all tax and reimbursement purposes.  The University realizes the importance of complying with federal, state and institutional requirements regarding the issuance and ongoing management of its tax-advantaged obligations. </w:t>
            </w:r>
          </w:p>
          <w:p w:rsidR="003C788B" w:rsidRPr="000B2DD7" w:rsidRDefault="003C788B" w:rsidP="009B287B">
            <w:pPr>
              <w:pBdr>
                <w:left w:val="single" w:sz="4" w:space="4" w:color="A6A6A6" w:themeColor="background1" w:themeShade="A6"/>
              </w:pBdr>
              <w:jc w:val="both"/>
              <w:rPr>
                <w:sz w:val="20"/>
                <w:szCs w:val="20"/>
              </w:rPr>
            </w:pPr>
          </w:p>
          <w:p w:rsidR="003C788B" w:rsidRPr="00713A06" w:rsidRDefault="00EE444C" w:rsidP="009B287B">
            <w:pPr>
              <w:pBdr>
                <w:left w:val="single" w:sz="4" w:space="4" w:color="A6A6A6" w:themeColor="background1" w:themeShade="A6"/>
              </w:pBdr>
              <w:jc w:val="both"/>
              <w:rPr>
                <w:sz w:val="20"/>
                <w:szCs w:val="20"/>
              </w:rPr>
            </w:pPr>
            <w:r>
              <w:rPr>
                <w:sz w:val="20"/>
                <w:szCs w:val="20"/>
              </w:rPr>
              <w:t>The policy and procedures outlined herein</w:t>
            </w:r>
            <w:r w:rsidR="003C788B" w:rsidRPr="000B2DD7">
              <w:rPr>
                <w:sz w:val="20"/>
                <w:szCs w:val="20"/>
              </w:rPr>
              <w:t xml:space="preserve"> are intended to define the compliance practices, including actions, records management and process continuity</w:t>
            </w:r>
            <w:r>
              <w:rPr>
                <w:sz w:val="20"/>
                <w:szCs w:val="20"/>
              </w:rPr>
              <w:t>,</w:t>
            </w:r>
            <w:r w:rsidR="003C788B" w:rsidRPr="000B2DD7">
              <w:rPr>
                <w:sz w:val="20"/>
                <w:szCs w:val="20"/>
              </w:rPr>
              <w:t xml:space="preserve"> within various business units under the Office of the Senior Vice President for Finance and Administration.  </w:t>
            </w:r>
          </w:p>
        </w:tc>
      </w:tr>
    </w:tbl>
    <w:p w:rsidR="007A4B0D" w:rsidRDefault="007A4B0D" w:rsidP="007A4B0D">
      <w:pPr>
        <w:spacing w:after="120"/>
        <w:rPr>
          <w:smallCaps/>
        </w:rPr>
      </w:pPr>
    </w:p>
    <w:p w:rsidR="007A4B0D" w:rsidRPr="00F40B41" w:rsidRDefault="002E6D10" w:rsidP="007A4B0D">
      <w:pPr>
        <w:pBdr>
          <w:bottom w:val="single" w:sz="4" w:space="1" w:color="FFFFFF"/>
        </w:pBdr>
        <w:shd w:val="clear" w:color="auto" w:fill="003366"/>
        <w:tabs>
          <w:tab w:val="left" w:pos="6300"/>
        </w:tabs>
        <w:ind w:left="-86"/>
        <w:rPr>
          <w:color w:val="FFCC00"/>
        </w:rPr>
      </w:pPr>
      <w:r>
        <w:rPr>
          <w:color w:val="FFCC00"/>
        </w:rPr>
        <w:t xml:space="preserve">II. </w:t>
      </w:r>
      <w:r w:rsidR="003939FD">
        <w:rPr>
          <w:color w:val="FFCC00"/>
        </w:rPr>
        <w:t xml:space="preserve">Scope </w:t>
      </w:r>
      <w:r w:rsidR="000B2DD7">
        <w:rPr>
          <w:color w:val="FFCC00"/>
        </w:rPr>
        <w:t>of Policy</w:t>
      </w:r>
    </w:p>
    <w:tbl>
      <w:tblPr>
        <w:tblW w:w="10008" w:type="dxa"/>
        <w:tblBorders>
          <w:insideH w:val="single" w:sz="4" w:space="0" w:color="auto"/>
          <w:insideV w:val="single" w:sz="4" w:space="0" w:color="auto"/>
        </w:tblBorders>
        <w:tblLook w:val="01E0" w:firstRow="1" w:lastRow="1" w:firstColumn="1" w:lastColumn="1" w:noHBand="0" w:noVBand="0"/>
      </w:tblPr>
      <w:tblGrid>
        <w:gridCol w:w="1998"/>
        <w:gridCol w:w="8010"/>
      </w:tblGrid>
      <w:tr w:rsidR="007A4B0D" w:rsidRPr="00D36F18" w:rsidTr="00D81226">
        <w:tc>
          <w:tcPr>
            <w:tcW w:w="1998" w:type="dxa"/>
            <w:tcBorders>
              <w:right w:val="single" w:sz="4" w:space="0" w:color="999999"/>
            </w:tcBorders>
          </w:tcPr>
          <w:p w:rsidR="007A4B0D" w:rsidRPr="00D36F18" w:rsidRDefault="007A4B0D" w:rsidP="001E4252">
            <w:pPr>
              <w:rPr>
                <w:sz w:val="18"/>
                <w:szCs w:val="18"/>
              </w:rPr>
            </w:pPr>
          </w:p>
          <w:p w:rsidR="007A4B0D" w:rsidRPr="00D36F18" w:rsidRDefault="007A4B0D" w:rsidP="001E4252">
            <w:pPr>
              <w:rPr>
                <w:sz w:val="18"/>
                <w:szCs w:val="18"/>
              </w:rPr>
            </w:pPr>
          </w:p>
        </w:tc>
        <w:tc>
          <w:tcPr>
            <w:tcW w:w="8010" w:type="dxa"/>
            <w:tcBorders>
              <w:top w:val="nil"/>
              <w:left w:val="single" w:sz="4" w:space="0" w:color="999999"/>
              <w:bottom w:val="nil"/>
            </w:tcBorders>
          </w:tcPr>
          <w:p w:rsidR="00CE7273" w:rsidRDefault="000B2DD7" w:rsidP="009B287B">
            <w:pPr>
              <w:ind w:left="90"/>
              <w:jc w:val="both"/>
              <w:rPr>
                <w:sz w:val="20"/>
                <w:szCs w:val="20"/>
              </w:rPr>
            </w:pPr>
            <w:r w:rsidRPr="000B2DD7">
              <w:rPr>
                <w:sz w:val="20"/>
                <w:szCs w:val="20"/>
              </w:rPr>
              <w:t xml:space="preserve">This policy relates to all tax-advantaged debt obligations issued by the University.  Although the Senior Vice President for Finance and Administration has ultimate responsibility for monitoring the University’s compliance with post-issuance tax requirements, various tasks are assigned to the Vice President for Finance and Associate Treasurer, the Controller, the Tax Director and the </w:t>
            </w:r>
            <w:r w:rsidR="00EE444C">
              <w:rPr>
                <w:sz w:val="20"/>
                <w:szCs w:val="20"/>
              </w:rPr>
              <w:t>Senior Manager of Plant Funds.</w:t>
            </w:r>
          </w:p>
          <w:p w:rsidR="00EE444C" w:rsidRPr="000B2DD7" w:rsidRDefault="00EE444C" w:rsidP="009B287B">
            <w:pPr>
              <w:ind w:left="90"/>
              <w:jc w:val="both"/>
              <w:rPr>
                <w:sz w:val="20"/>
                <w:szCs w:val="20"/>
              </w:rPr>
            </w:pPr>
          </w:p>
          <w:p w:rsidR="000B2DD7" w:rsidRPr="00A37607" w:rsidRDefault="00B928A2" w:rsidP="00A37607">
            <w:pPr>
              <w:ind w:left="90"/>
              <w:jc w:val="both"/>
              <w:rPr>
                <w:sz w:val="20"/>
                <w:szCs w:val="20"/>
                <w:u w:val="single"/>
              </w:rPr>
            </w:pPr>
            <w:r w:rsidRPr="000B2DD7">
              <w:rPr>
                <w:sz w:val="20"/>
                <w:szCs w:val="20"/>
              </w:rPr>
              <w:t xml:space="preserve">Goals and </w:t>
            </w:r>
            <w:r w:rsidR="003939FD" w:rsidRPr="000B2DD7">
              <w:rPr>
                <w:sz w:val="20"/>
                <w:szCs w:val="20"/>
              </w:rPr>
              <w:t>Objectives</w:t>
            </w:r>
          </w:p>
        </w:tc>
      </w:tr>
    </w:tbl>
    <w:p w:rsidR="00ED0F47" w:rsidRDefault="00ED0F47" w:rsidP="00251F40">
      <w:pPr>
        <w:spacing w:after="120"/>
        <w:rPr>
          <w:smallCaps/>
        </w:rPr>
      </w:pPr>
    </w:p>
    <w:p w:rsidR="0013588F" w:rsidRPr="00F40B41" w:rsidRDefault="002E6D10" w:rsidP="0013588F">
      <w:pPr>
        <w:pBdr>
          <w:bottom w:val="single" w:sz="4" w:space="1" w:color="FFFFFF"/>
        </w:pBdr>
        <w:shd w:val="clear" w:color="auto" w:fill="003366"/>
        <w:tabs>
          <w:tab w:val="left" w:pos="6300"/>
        </w:tabs>
        <w:ind w:left="-86"/>
        <w:rPr>
          <w:color w:val="FFCC00"/>
        </w:rPr>
      </w:pPr>
      <w:r>
        <w:rPr>
          <w:color w:val="FFCC00"/>
        </w:rPr>
        <w:t xml:space="preserve">III. </w:t>
      </w:r>
      <w:r w:rsidR="000B2DD7">
        <w:rPr>
          <w:color w:val="FFCC00"/>
        </w:rPr>
        <w:t>Debt Issuance Process</w:t>
      </w:r>
    </w:p>
    <w:tbl>
      <w:tblPr>
        <w:tblW w:w="10008" w:type="dxa"/>
        <w:tblBorders>
          <w:insideH w:val="single" w:sz="4" w:space="0" w:color="auto"/>
          <w:insideV w:val="single" w:sz="4" w:space="0" w:color="auto"/>
        </w:tblBorders>
        <w:tblLook w:val="01E0" w:firstRow="1" w:lastRow="1" w:firstColumn="1" w:lastColumn="1" w:noHBand="0" w:noVBand="0"/>
      </w:tblPr>
      <w:tblGrid>
        <w:gridCol w:w="1998"/>
        <w:gridCol w:w="8010"/>
      </w:tblGrid>
      <w:tr w:rsidR="0013588F" w:rsidRPr="00D36F18" w:rsidTr="00D81226">
        <w:tc>
          <w:tcPr>
            <w:tcW w:w="1998" w:type="dxa"/>
            <w:tcBorders>
              <w:right w:val="single" w:sz="4" w:space="0" w:color="999999"/>
            </w:tcBorders>
          </w:tcPr>
          <w:p w:rsidR="0013588F" w:rsidRPr="00D36F18" w:rsidRDefault="0013588F" w:rsidP="001E4252">
            <w:pPr>
              <w:rPr>
                <w:sz w:val="18"/>
                <w:szCs w:val="18"/>
              </w:rPr>
            </w:pPr>
          </w:p>
          <w:p w:rsidR="0013588F" w:rsidRPr="00D36F18" w:rsidRDefault="0013588F" w:rsidP="001E4252">
            <w:pPr>
              <w:rPr>
                <w:sz w:val="18"/>
                <w:szCs w:val="18"/>
              </w:rPr>
            </w:pPr>
          </w:p>
          <w:p w:rsidR="0013588F" w:rsidRPr="00D36F18" w:rsidRDefault="0013588F" w:rsidP="001E4252">
            <w:pPr>
              <w:rPr>
                <w:sz w:val="18"/>
                <w:szCs w:val="18"/>
              </w:rPr>
            </w:pPr>
          </w:p>
        </w:tc>
        <w:tc>
          <w:tcPr>
            <w:tcW w:w="8010" w:type="dxa"/>
            <w:tcBorders>
              <w:top w:val="nil"/>
              <w:left w:val="single" w:sz="4" w:space="0" w:color="999999"/>
              <w:bottom w:val="nil"/>
            </w:tcBorders>
          </w:tcPr>
          <w:p w:rsidR="009B287B" w:rsidRPr="009B287B" w:rsidRDefault="009B287B" w:rsidP="009B287B">
            <w:pPr>
              <w:ind w:left="90"/>
              <w:jc w:val="both"/>
              <w:rPr>
                <w:sz w:val="20"/>
                <w:szCs w:val="20"/>
              </w:rPr>
            </w:pPr>
            <w:r w:rsidRPr="009B287B">
              <w:rPr>
                <w:sz w:val="20"/>
                <w:szCs w:val="20"/>
              </w:rPr>
              <w:t>Certain authorizations must be obtained by the Office of the Senior Vice President for Finance and Administration.</w:t>
            </w:r>
          </w:p>
          <w:p w:rsidR="009B287B" w:rsidRPr="009B287B" w:rsidRDefault="009B287B" w:rsidP="00937214">
            <w:pPr>
              <w:pStyle w:val="ListParagraph"/>
              <w:numPr>
                <w:ilvl w:val="1"/>
                <w:numId w:val="1"/>
              </w:numPr>
              <w:spacing w:after="0"/>
              <w:ind w:left="720"/>
              <w:jc w:val="both"/>
              <w:rPr>
                <w:rFonts w:eastAsia="Times New Roman"/>
                <w:sz w:val="20"/>
                <w:szCs w:val="20"/>
              </w:rPr>
            </w:pPr>
            <w:r w:rsidRPr="009B287B">
              <w:rPr>
                <w:rFonts w:eastAsia="Times New Roman"/>
                <w:sz w:val="20"/>
                <w:szCs w:val="20"/>
              </w:rPr>
              <w:t>Board of Governors (with Resolution of the Board of Trustees concurring with Resolution of the Board of Governors) authorizing projects to be implemented and that these projects may be financed through debt obligations</w:t>
            </w:r>
          </w:p>
          <w:p w:rsidR="009B287B" w:rsidRPr="009B287B" w:rsidRDefault="009B287B" w:rsidP="00937214">
            <w:pPr>
              <w:pStyle w:val="ListParagraph"/>
              <w:numPr>
                <w:ilvl w:val="1"/>
                <w:numId w:val="1"/>
              </w:numPr>
              <w:spacing w:after="0"/>
              <w:ind w:left="720"/>
              <w:jc w:val="both"/>
              <w:rPr>
                <w:rFonts w:eastAsia="Times New Roman"/>
                <w:sz w:val="20"/>
                <w:szCs w:val="20"/>
              </w:rPr>
            </w:pPr>
            <w:r w:rsidRPr="009B287B">
              <w:rPr>
                <w:rFonts w:eastAsia="Times New Roman"/>
                <w:sz w:val="20"/>
                <w:szCs w:val="20"/>
              </w:rPr>
              <w:t>Board of Governors (with concurrence from the Board of Trustees) Reimbursement Resolution where necessary</w:t>
            </w:r>
          </w:p>
          <w:p w:rsidR="009B287B" w:rsidRPr="009B287B" w:rsidRDefault="009B287B" w:rsidP="00937214">
            <w:pPr>
              <w:pStyle w:val="ListParagraph"/>
              <w:numPr>
                <w:ilvl w:val="1"/>
                <w:numId w:val="1"/>
              </w:numPr>
              <w:spacing w:after="0"/>
              <w:ind w:left="720"/>
              <w:jc w:val="both"/>
              <w:rPr>
                <w:rFonts w:eastAsia="Times New Roman"/>
                <w:sz w:val="20"/>
                <w:szCs w:val="20"/>
              </w:rPr>
            </w:pPr>
            <w:r w:rsidRPr="009B287B">
              <w:rPr>
                <w:rFonts w:eastAsia="Times New Roman"/>
                <w:sz w:val="20"/>
                <w:szCs w:val="20"/>
              </w:rPr>
              <w:t>State Authorization – if the debt is to be issued through a State Authority</w:t>
            </w:r>
          </w:p>
          <w:p w:rsidR="009B287B" w:rsidRPr="009B287B" w:rsidRDefault="009B287B" w:rsidP="00937214">
            <w:pPr>
              <w:pStyle w:val="ListParagraph"/>
              <w:numPr>
                <w:ilvl w:val="1"/>
                <w:numId w:val="1"/>
              </w:numPr>
              <w:spacing w:after="0"/>
              <w:ind w:left="720"/>
              <w:jc w:val="both"/>
              <w:rPr>
                <w:rFonts w:eastAsia="Times New Roman"/>
                <w:sz w:val="20"/>
                <w:szCs w:val="20"/>
              </w:rPr>
            </w:pPr>
            <w:r w:rsidRPr="009B287B">
              <w:rPr>
                <w:rFonts w:eastAsia="Times New Roman"/>
                <w:sz w:val="20"/>
                <w:szCs w:val="20"/>
              </w:rPr>
              <w:t>Legal Opinions from Bond Counsel</w:t>
            </w:r>
          </w:p>
          <w:p w:rsidR="00F63E53" w:rsidRDefault="009B287B" w:rsidP="009B287B">
            <w:pPr>
              <w:pStyle w:val="ListParagraph"/>
              <w:numPr>
                <w:ilvl w:val="1"/>
                <w:numId w:val="1"/>
              </w:numPr>
              <w:spacing w:after="0"/>
              <w:ind w:left="720"/>
              <w:jc w:val="both"/>
              <w:rPr>
                <w:rFonts w:eastAsia="Times New Roman"/>
                <w:sz w:val="20"/>
                <w:szCs w:val="20"/>
              </w:rPr>
            </w:pPr>
            <w:r w:rsidRPr="009B287B">
              <w:rPr>
                <w:rFonts w:eastAsia="Times New Roman"/>
                <w:sz w:val="20"/>
                <w:szCs w:val="20"/>
              </w:rPr>
              <w:t>Arbitrage (Tax) Certificate</w:t>
            </w:r>
          </w:p>
          <w:p w:rsidR="00EE444C" w:rsidRPr="00A37607" w:rsidRDefault="00EE444C" w:rsidP="009B287B">
            <w:pPr>
              <w:pStyle w:val="ListParagraph"/>
              <w:numPr>
                <w:ilvl w:val="1"/>
                <w:numId w:val="1"/>
              </w:numPr>
              <w:spacing w:after="0"/>
              <w:ind w:left="720"/>
              <w:jc w:val="both"/>
              <w:rPr>
                <w:rFonts w:eastAsia="Times New Roman"/>
                <w:sz w:val="20"/>
                <w:szCs w:val="20"/>
              </w:rPr>
            </w:pPr>
            <w:r>
              <w:rPr>
                <w:rFonts w:eastAsia="Times New Roman"/>
                <w:sz w:val="20"/>
                <w:szCs w:val="20"/>
              </w:rPr>
              <w:t xml:space="preserve">Tax Due Diligence Questionnaire </w:t>
            </w:r>
          </w:p>
        </w:tc>
      </w:tr>
    </w:tbl>
    <w:p w:rsidR="005D29BF" w:rsidRDefault="005D29BF" w:rsidP="005D29BF">
      <w:pPr>
        <w:spacing w:after="120"/>
        <w:rPr>
          <w:smallCaps/>
        </w:rPr>
      </w:pPr>
    </w:p>
    <w:p w:rsidR="005D29BF" w:rsidRPr="00F40B41" w:rsidRDefault="00E820B5" w:rsidP="005D29BF">
      <w:pPr>
        <w:pBdr>
          <w:bottom w:val="single" w:sz="4" w:space="1" w:color="FFFFFF"/>
        </w:pBdr>
        <w:shd w:val="clear" w:color="auto" w:fill="003366"/>
        <w:tabs>
          <w:tab w:val="left" w:pos="6300"/>
        </w:tabs>
        <w:ind w:left="-86"/>
        <w:rPr>
          <w:color w:val="FFCC00"/>
        </w:rPr>
      </w:pPr>
      <w:r>
        <w:rPr>
          <w:color w:val="FFCC00"/>
        </w:rPr>
        <w:t>I</w:t>
      </w:r>
      <w:r w:rsidR="005D29BF">
        <w:rPr>
          <w:color w:val="FFCC00"/>
        </w:rPr>
        <w:t xml:space="preserve">V. </w:t>
      </w:r>
      <w:r w:rsidR="009B287B">
        <w:rPr>
          <w:color w:val="FFCC00"/>
        </w:rPr>
        <w:t>Proceeds Tracking</w:t>
      </w:r>
    </w:p>
    <w:tbl>
      <w:tblPr>
        <w:tblW w:w="10008" w:type="dxa"/>
        <w:tblBorders>
          <w:insideH w:val="single" w:sz="4" w:space="0" w:color="auto"/>
          <w:insideV w:val="single" w:sz="4" w:space="0" w:color="auto"/>
        </w:tblBorders>
        <w:tblLook w:val="01E0" w:firstRow="1" w:lastRow="1" w:firstColumn="1" w:lastColumn="1" w:noHBand="0" w:noVBand="0"/>
      </w:tblPr>
      <w:tblGrid>
        <w:gridCol w:w="1998"/>
        <w:gridCol w:w="8010"/>
      </w:tblGrid>
      <w:tr w:rsidR="005D29BF" w:rsidRPr="00D36F18" w:rsidTr="00D81226">
        <w:tc>
          <w:tcPr>
            <w:tcW w:w="1998" w:type="dxa"/>
            <w:tcBorders>
              <w:right w:val="single" w:sz="4" w:space="0" w:color="999999"/>
            </w:tcBorders>
          </w:tcPr>
          <w:p w:rsidR="005D29BF" w:rsidRPr="00D36F18" w:rsidRDefault="005D29BF" w:rsidP="00741443">
            <w:pPr>
              <w:rPr>
                <w:sz w:val="18"/>
                <w:szCs w:val="18"/>
              </w:rPr>
            </w:pPr>
          </w:p>
          <w:p w:rsidR="005D29BF" w:rsidRPr="00D36F18" w:rsidRDefault="005D29BF" w:rsidP="00741443">
            <w:pPr>
              <w:rPr>
                <w:sz w:val="18"/>
                <w:szCs w:val="18"/>
              </w:rPr>
            </w:pPr>
          </w:p>
        </w:tc>
        <w:tc>
          <w:tcPr>
            <w:tcW w:w="8010" w:type="dxa"/>
            <w:tcBorders>
              <w:top w:val="nil"/>
              <w:left w:val="single" w:sz="4" w:space="0" w:color="999999"/>
              <w:bottom w:val="nil"/>
            </w:tcBorders>
          </w:tcPr>
          <w:p w:rsidR="009B287B" w:rsidRPr="009B287B" w:rsidRDefault="009B287B" w:rsidP="009B287B">
            <w:pPr>
              <w:ind w:left="90"/>
              <w:jc w:val="both"/>
              <w:rPr>
                <w:sz w:val="20"/>
                <w:szCs w:val="20"/>
              </w:rPr>
            </w:pPr>
            <w:r w:rsidRPr="009B287B">
              <w:rPr>
                <w:sz w:val="20"/>
                <w:szCs w:val="20"/>
              </w:rPr>
              <w:t xml:space="preserve">The University allocates debt proceeds to the various projects being funded with the tax-advantaged debt.  </w:t>
            </w:r>
          </w:p>
          <w:p w:rsidR="009B287B" w:rsidRPr="009B287B" w:rsidRDefault="009B287B" w:rsidP="00937214">
            <w:pPr>
              <w:pStyle w:val="ListParagraph"/>
              <w:numPr>
                <w:ilvl w:val="1"/>
                <w:numId w:val="2"/>
              </w:numPr>
              <w:spacing w:after="0"/>
              <w:ind w:left="720"/>
              <w:jc w:val="both"/>
              <w:rPr>
                <w:sz w:val="20"/>
                <w:szCs w:val="20"/>
              </w:rPr>
            </w:pPr>
            <w:r w:rsidRPr="009B287B">
              <w:rPr>
                <w:sz w:val="20"/>
                <w:szCs w:val="20"/>
              </w:rPr>
              <w:t xml:space="preserve">Plant Accounting, working with Facilities, Tax and Treasury Operations tracks the spending of the proceeds for eligible project costs along with the rate at which the proceeds are spent.  </w:t>
            </w:r>
            <w:r w:rsidR="00EE444C">
              <w:rPr>
                <w:sz w:val="20"/>
                <w:szCs w:val="20"/>
              </w:rPr>
              <w:t xml:space="preserve">The University has the ability to use another allocation provided the allocation takes place no later than 18 months after the </w:t>
            </w:r>
            <w:r w:rsidR="00EB702B">
              <w:rPr>
                <w:sz w:val="20"/>
                <w:szCs w:val="20"/>
              </w:rPr>
              <w:t>date the expenditure is paid or the project to which the expenditure relates is placed into service, whichever is later, but not more than 60 days after the five year anniversary date.</w:t>
            </w:r>
          </w:p>
          <w:p w:rsidR="009B287B" w:rsidRPr="009B287B" w:rsidRDefault="009B287B" w:rsidP="00937214">
            <w:pPr>
              <w:pStyle w:val="ListParagraph"/>
              <w:numPr>
                <w:ilvl w:val="1"/>
                <w:numId w:val="2"/>
              </w:numPr>
              <w:spacing w:after="0"/>
              <w:ind w:left="720"/>
              <w:jc w:val="both"/>
              <w:rPr>
                <w:sz w:val="20"/>
                <w:szCs w:val="20"/>
              </w:rPr>
            </w:pPr>
            <w:r w:rsidRPr="009B287B">
              <w:rPr>
                <w:sz w:val="20"/>
                <w:szCs w:val="20"/>
              </w:rPr>
              <w:t>Compliance with arbitrage yield restrictions and rebate requirements as required by section 148 of the Internal Revenue Code (the “Code”) are monitored through the “Rebate Arbitrage Reports” prepared by Bond Counsel</w:t>
            </w:r>
            <w:r w:rsidR="00EB702B">
              <w:rPr>
                <w:sz w:val="20"/>
                <w:szCs w:val="20"/>
              </w:rPr>
              <w:t xml:space="preserve"> through their financial services division</w:t>
            </w:r>
            <w:r w:rsidRPr="009B287B">
              <w:rPr>
                <w:sz w:val="20"/>
                <w:szCs w:val="20"/>
              </w:rPr>
              <w:t>.  These reports will include:</w:t>
            </w:r>
          </w:p>
          <w:p w:rsidR="009B287B" w:rsidRPr="009B287B" w:rsidRDefault="009B287B" w:rsidP="00937214">
            <w:pPr>
              <w:pStyle w:val="ListParagraph"/>
              <w:numPr>
                <w:ilvl w:val="2"/>
                <w:numId w:val="2"/>
              </w:numPr>
              <w:spacing w:after="0"/>
              <w:ind w:left="1260"/>
              <w:jc w:val="both"/>
              <w:rPr>
                <w:sz w:val="20"/>
                <w:szCs w:val="20"/>
              </w:rPr>
            </w:pPr>
            <w:r w:rsidRPr="009B287B">
              <w:rPr>
                <w:sz w:val="20"/>
                <w:szCs w:val="20"/>
              </w:rPr>
              <w:t>Purchases and sales of investments made with debt proceeds</w:t>
            </w:r>
          </w:p>
          <w:p w:rsidR="009B287B" w:rsidRPr="009B287B" w:rsidRDefault="009B287B" w:rsidP="00937214">
            <w:pPr>
              <w:pStyle w:val="ListParagraph"/>
              <w:numPr>
                <w:ilvl w:val="2"/>
                <w:numId w:val="2"/>
              </w:numPr>
              <w:spacing w:after="0"/>
              <w:ind w:left="1260"/>
              <w:jc w:val="both"/>
              <w:rPr>
                <w:sz w:val="20"/>
                <w:szCs w:val="20"/>
              </w:rPr>
            </w:pPr>
            <w:r w:rsidRPr="009B287B">
              <w:rPr>
                <w:sz w:val="20"/>
                <w:szCs w:val="20"/>
              </w:rPr>
              <w:lastRenderedPageBreak/>
              <w:t>Earnings on investments made with debt proceeds</w:t>
            </w:r>
          </w:p>
          <w:p w:rsidR="009B287B" w:rsidRPr="009B287B" w:rsidRDefault="009B287B" w:rsidP="00937214">
            <w:pPr>
              <w:pStyle w:val="ListParagraph"/>
              <w:numPr>
                <w:ilvl w:val="2"/>
                <w:numId w:val="2"/>
              </w:numPr>
              <w:spacing w:after="0"/>
              <w:ind w:left="1260"/>
              <w:jc w:val="both"/>
              <w:rPr>
                <w:sz w:val="20"/>
                <w:szCs w:val="20"/>
              </w:rPr>
            </w:pPr>
            <w:r w:rsidRPr="009B287B">
              <w:rPr>
                <w:sz w:val="20"/>
                <w:szCs w:val="20"/>
              </w:rPr>
              <w:t>Expenditures made with debt proceeds and earnings from investments made from debt proceeds</w:t>
            </w:r>
          </w:p>
          <w:p w:rsidR="009B287B" w:rsidRPr="009B287B" w:rsidRDefault="009B287B" w:rsidP="00937214">
            <w:pPr>
              <w:pStyle w:val="ListParagraph"/>
              <w:numPr>
                <w:ilvl w:val="2"/>
                <w:numId w:val="2"/>
              </w:numPr>
              <w:spacing w:after="0"/>
              <w:ind w:left="1260"/>
              <w:jc w:val="both"/>
              <w:rPr>
                <w:sz w:val="20"/>
                <w:szCs w:val="20"/>
              </w:rPr>
            </w:pPr>
            <w:r w:rsidRPr="009B287B">
              <w:rPr>
                <w:sz w:val="20"/>
                <w:szCs w:val="20"/>
              </w:rPr>
              <w:t>Information showing, where applicable, that the University was eligible to be treated as a “small issuer” in respect to bonds issued in that calendar year</w:t>
            </w:r>
          </w:p>
          <w:p w:rsidR="009B287B" w:rsidRPr="009B287B" w:rsidRDefault="009B287B" w:rsidP="00937214">
            <w:pPr>
              <w:pStyle w:val="ListParagraph"/>
              <w:numPr>
                <w:ilvl w:val="2"/>
                <w:numId w:val="2"/>
              </w:numPr>
              <w:spacing w:after="0"/>
              <w:ind w:left="1260"/>
              <w:jc w:val="both"/>
              <w:rPr>
                <w:sz w:val="20"/>
                <w:szCs w:val="20"/>
              </w:rPr>
            </w:pPr>
            <w:r w:rsidRPr="009B287B">
              <w:rPr>
                <w:sz w:val="20"/>
                <w:szCs w:val="20"/>
              </w:rPr>
              <w:t>Calculations sufficient to demonstrate to the Internal Revenue Service upon an audit of a debt issue that, where applicable, the University has complied with an available spending exception to the arbitrage rebate requirements in respect to the debt issue</w:t>
            </w:r>
          </w:p>
          <w:p w:rsidR="009B287B" w:rsidRPr="009B287B" w:rsidRDefault="009B287B" w:rsidP="00937214">
            <w:pPr>
              <w:pStyle w:val="ListParagraph"/>
              <w:numPr>
                <w:ilvl w:val="2"/>
                <w:numId w:val="2"/>
              </w:numPr>
              <w:spacing w:after="0"/>
              <w:ind w:left="1260"/>
              <w:jc w:val="both"/>
              <w:rPr>
                <w:sz w:val="20"/>
                <w:szCs w:val="20"/>
              </w:rPr>
            </w:pPr>
            <w:r w:rsidRPr="009B287B">
              <w:rPr>
                <w:sz w:val="20"/>
                <w:szCs w:val="20"/>
              </w:rPr>
              <w:t>Calculations sufficient to demonstrate to the Internal Revenue Service upon an audit of a debt issue for which an available spending exception to the arbitrage rebate requirements was applicable, that the rebate amount, if any, was calculated and timely paid with Form 8038-T timely filed with the Internal Revenue Service</w:t>
            </w:r>
          </w:p>
          <w:p w:rsidR="009B287B" w:rsidRPr="009B287B" w:rsidRDefault="009B287B" w:rsidP="00937214">
            <w:pPr>
              <w:pStyle w:val="ListParagraph"/>
              <w:numPr>
                <w:ilvl w:val="2"/>
                <w:numId w:val="2"/>
              </w:numPr>
              <w:spacing w:after="0"/>
              <w:ind w:left="1260"/>
              <w:jc w:val="both"/>
              <w:rPr>
                <w:sz w:val="20"/>
                <w:szCs w:val="20"/>
              </w:rPr>
            </w:pPr>
            <w:r w:rsidRPr="009B287B">
              <w:rPr>
                <w:sz w:val="20"/>
                <w:szCs w:val="20"/>
              </w:rPr>
              <w:t>Records showing that investments held in yield-restricted advance refunding or defeasance escrows for debt, and investment made with unspent proceeds after the expiration of the applicable temporary periods, were not invested in higher-yielding investments</w:t>
            </w:r>
          </w:p>
          <w:p w:rsidR="009B287B" w:rsidRPr="009B287B" w:rsidRDefault="009B287B" w:rsidP="00937214">
            <w:pPr>
              <w:pStyle w:val="ListParagraph"/>
              <w:numPr>
                <w:ilvl w:val="1"/>
                <w:numId w:val="2"/>
              </w:numPr>
              <w:spacing w:after="0"/>
              <w:ind w:left="720"/>
              <w:jc w:val="both"/>
              <w:rPr>
                <w:sz w:val="20"/>
                <w:szCs w:val="20"/>
              </w:rPr>
            </w:pPr>
            <w:r w:rsidRPr="009B287B">
              <w:rPr>
                <w:sz w:val="20"/>
                <w:szCs w:val="20"/>
              </w:rPr>
              <w:t>Plant Accounting tracks issuance costs that are paid from bond proceeds to ensure such costs do not exceed 2% of the “net proceeds” of such debt, where applicable.</w:t>
            </w:r>
          </w:p>
          <w:p w:rsidR="009B287B" w:rsidRPr="009B287B" w:rsidRDefault="009B287B" w:rsidP="00937214">
            <w:pPr>
              <w:pStyle w:val="ListParagraph"/>
              <w:numPr>
                <w:ilvl w:val="1"/>
                <w:numId w:val="2"/>
              </w:numPr>
              <w:spacing w:after="0"/>
              <w:ind w:left="720"/>
              <w:jc w:val="both"/>
              <w:rPr>
                <w:sz w:val="20"/>
                <w:szCs w:val="20"/>
              </w:rPr>
            </w:pPr>
            <w:r w:rsidRPr="009B287B">
              <w:rPr>
                <w:sz w:val="20"/>
                <w:szCs w:val="20"/>
              </w:rPr>
              <w:t>Plant Accounting monitors total proceeds spent on projects to ensure they do not exceed the project costs authorized by the Board Resolutions.</w:t>
            </w:r>
          </w:p>
          <w:p w:rsidR="005C40A3" w:rsidRPr="00D81226" w:rsidRDefault="009B287B" w:rsidP="009B287B">
            <w:pPr>
              <w:pStyle w:val="ListParagraph"/>
              <w:numPr>
                <w:ilvl w:val="1"/>
                <w:numId w:val="2"/>
              </w:numPr>
              <w:spacing w:after="0"/>
              <w:ind w:left="720"/>
              <w:jc w:val="both"/>
              <w:rPr>
                <w:sz w:val="20"/>
                <w:szCs w:val="20"/>
              </w:rPr>
            </w:pPr>
            <w:r w:rsidRPr="009B287B">
              <w:rPr>
                <w:sz w:val="20"/>
                <w:szCs w:val="20"/>
              </w:rPr>
              <w:t xml:space="preserve">Treasury Operations shall maintain information about any derivative agreements integrated with the debt for tax purposes, including all correspondence from the counterparty, and shall maintain records of all bid forms and results, recommendations of financial advisors, contracts and legal opinions related to all investment contracts, derivative agreements and other investment products. </w:t>
            </w:r>
          </w:p>
        </w:tc>
      </w:tr>
    </w:tbl>
    <w:p w:rsidR="009B287B" w:rsidRDefault="009B287B" w:rsidP="009B287B">
      <w:pPr>
        <w:pBdr>
          <w:bottom w:val="single" w:sz="4" w:space="1" w:color="FFFFFF"/>
        </w:pBdr>
        <w:tabs>
          <w:tab w:val="left" w:pos="6300"/>
        </w:tabs>
        <w:ind w:left="-86"/>
        <w:rPr>
          <w:color w:val="FFCC00"/>
        </w:rPr>
      </w:pPr>
    </w:p>
    <w:p w:rsidR="00FD6B5F" w:rsidRPr="00F40B41" w:rsidRDefault="00A959DA" w:rsidP="00FD6B5F">
      <w:pPr>
        <w:pBdr>
          <w:bottom w:val="single" w:sz="4" w:space="1" w:color="FFFFFF"/>
        </w:pBdr>
        <w:shd w:val="clear" w:color="auto" w:fill="003366"/>
        <w:tabs>
          <w:tab w:val="left" w:pos="6300"/>
        </w:tabs>
        <w:ind w:left="-86"/>
        <w:rPr>
          <w:color w:val="FFCC00"/>
        </w:rPr>
      </w:pPr>
      <w:r>
        <w:rPr>
          <w:color w:val="FFCC00"/>
        </w:rPr>
        <w:t>V</w:t>
      </w:r>
      <w:r w:rsidR="002E6D10">
        <w:rPr>
          <w:color w:val="FFCC00"/>
        </w:rPr>
        <w:t xml:space="preserve">. </w:t>
      </w:r>
      <w:r w:rsidR="009B287B">
        <w:rPr>
          <w:color w:val="FFCC00"/>
        </w:rPr>
        <w:t>Maintaining Detailed Records</w:t>
      </w:r>
    </w:p>
    <w:tbl>
      <w:tblPr>
        <w:tblW w:w="10008" w:type="dxa"/>
        <w:tblLook w:val="01E0" w:firstRow="1" w:lastRow="1" w:firstColumn="1" w:lastColumn="1" w:noHBand="0" w:noVBand="0"/>
      </w:tblPr>
      <w:tblGrid>
        <w:gridCol w:w="1998"/>
        <w:gridCol w:w="8010"/>
      </w:tblGrid>
      <w:tr w:rsidR="00FD6B5F" w:rsidRPr="00D36F18" w:rsidTr="00D81226">
        <w:tc>
          <w:tcPr>
            <w:tcW w:w="1998" w:type="dxa"/>
            <w:tcBorders>
              <w:right w:val="single" w:sz="4" w:space="0" w:color="A6A6A6" w:themeColor="background1" w:themeShade="A6"/>
            </w:tcBorders>
            <w:shd w:val="clear" w:color="auto" w:fill="auto"/>
          </w:tcPr>
          <w:p w:rsidR="00FD6B5F" w:rsidRPr="00D36F18" w:rsidRDefault="00FD6B5F" w:rsidP="009B287B">
            <w:pPr>
              <w:pStyle w:val="BodyTextIndent2"/>
              <w:ind w:left="360" w:right="234"/>
              <w:jc w:val="both"/>
              <w:rPr>
                <w:sz w:val="18"/>
                <w:szCs w:val="18"/>
              </w:rPr>
            </w:pPr>
          </w:p>
        </w:tc>
        <w:tc>
          <w:tcPr>
            <w:tcW w:w="8010" w:type="dxa"/>
            <w:tcBorders>
              <w:left w:val="single" w:sz="4" w:space="0" w:color="A6A6A6" w:themeColor="background1" w:themeShade="A6"/>
            </w:tcBorders>
            <w:shd w:val="clear" w:color="auto" w:fill="auto"/>
          </w:tcPr>
          <w:p w:rsidR="009B287B" w:rsidRPr="009B287B" w:rsidRDefault="009B287B" w:rsidP="00937214">
            <w:pPr>
              <w:ind w:left="72"/>
              <w:jc w:val="both"/>
              <w:rPr>
                <w:sz w:val="20"/>
                <w:szCs w:val="20"/>
              </w:rPr>
            </w:pPr>
            <w:r w:rsidRPr="009B287B">
              <w:rPr>
                <w:sz w:val="20"/>
                <w:szCs w:val="20"/>
              </w:rPr>
              <w:t>Records relating to any debt transactions are maintained and retained in compliance with applicable regulatory records retention requirements.  These requirements provide that records relating to tax-advantaged debt transactions should be retained so long as they are material in the administration of any federal tax law.  Therefore, it is recommended that material records be kept for the life of the debt, including any refunding of the debt, plus three years.  Material records are defined as documentation evidencing the:</w:t>
            </w:r>
          </w:p>
          <w:p w:rsidR="009B287B" w:rsidRPr="009B287B" w:rsidRDefault="009B287B" w:rsidP="00937214">
            <w:pPr>
              <w:pStyle w:val="ListParagraph"/>
              <w:numPr>
                <w:ilvl w:val="1"/>
                <w:numId w:val="3"/>
              </w:numPr>
              <w:spacing w:after="0"/>
              <w:ind w:left="792"/>
              <w:jc w:val="both"/>
              <w:rPr>
                <w:sz w:val="20"/>
                <w:szCs w:val="20"/>
              </w:rPr>
            </w:pPr>
            <w:r w:rsidRPr="009B287B">
              <w:rPr>
                <w:sz w:val="20"/>
                <w:szCs w:val="20"/>
              </w:rPr>
              <w:t>Official Transcripts of Proceedings for the original debt issuance</w:t>
            </w:r>
          </w:p>
          <w:p w:rsidR="009B287B" w:rsidRPr="009B287B" w:rsidRDefault="009B287B" w:rsidP="00937214">
            <w:pPr>
              <w:pStyle w:val="ListParagraph"/>
              <w:numPr>
                <w:ilvl w:val="1"/>
                <w:numId w:val="3"/>
              </w:numPr>
              <w:spacing w:after="0"/>
              <w:ind w:left="792"/>
              <w:jc w:val="both"/>
              <w:rPr>
                <w:sz w:val="20"/>
                <w:szCs w:val="20"/>
              </w:rPr>
            </w:pPr>
            <w:r w:rsidRPr="009B287B">
              <w:rPr>
                <w:sz w:val="20"/>
                <w:szCs w:val="20"/>
              </w:rPr>
              <w:t>Expenditure of debt proceeds</w:t>
            </w:r>
          </w:p>
          <w:p w:rsidR="009B287B" w:rsidRPr="009B287B" w:rsidRDefault="009B287B" w:rsidP="00937214">
            <w:pPr>
              <w:pStyle w:val="ListParagraph"/>
              <w:numPr>
                <w:ilvl w:val="1"/>
                <w:numId w:val="3"/>
              </w:numPr>
              <w:spacing w:after="0"/>
              <w:ind w:left="792"/>
              <w:jc w:val="both"/>
              <w:rPr>
                <w:sz w:val="20"/>
                <w:szCs w:val="20"/>
              </w:rPr>
            </w:pPr>
            <w:r w:rsidRPr="009B287B">
              <w:rPr>
                <w:sz w:val="20"/>
                <w:szCs w:val="20"/>
              </w:rPr>
              <w:t>Uses of debt financed property</w:t>
            </w:r>
          </w:p>
          <w:p w:rsidR="009B287B" w:rsidRPr="009B287B" w:rsidRDefault="009B287B" w:rsidP="00937214">
            <w:pPr>
              <w:pStyle w:val="ListParagraph"/>
              <w:numPr>
                <w:ilvl w:val="1"/>
                <w:numId w:val="3"/>
              </w:numPr>
              <w:spacing w:after="0"/>
              <w:ind w:left="792"/>
              <w:jc w:val="both"/>
              <w:rPr>
                <w:sz w:val="20"/>
                <w:szCs w:val="20"/>
              </w:rPr>
            </w:pPr>
            <w:r w:rsidRPr="009B287B">
              <w:rPr>
                <w:sz w:val="20"/>
                <w:szCs w:val="20"/>
              </w:rPr>
              <w:t>Sources of payment or security for debt</w:t>
            </w:r>
          </w:p>
          <w:p w:rsidR="009B287B" w:rsidRPr="009B287B" w:rsidRDefault="009B287B" w:rsidP="00937214">
            <w:pPr>
              <w:pStyle w:val="ListParagraph"/>
              <w:numPr>
                <w:ilvl w:val="1"/>
                <w:numId w:val="3"/>
              </w:numPr>
              <w:spacing w:after="0"/>
              <w:ind w:left="792"/>
              <w:jc w:val="both"/>
              <w:rPr>
                <w:sz w:val="20"/>
                <w:szCs w:val="20"/>
              </w:rPr>
            </w:pPr>
            <w:r w:rsidRPr="009B287B">
              <w:rPr>
                <w:sz w:val="20"/>
                <w:szCs w:val="20"/>
              </w:rPr>
              <w:t>Investment of bond proceeds</w:t>
            </w:r>
          </w:p>
          <w:p w:rsidR="009B287B" w:rsidRPr="009B287B" w:rsidRDefault="009B287B" w:rsidP="00937214">
            <w:pPr>
              <w:pStyle w:val="ListParagraph"/>
              <w:numPr>
                <w:ilvl w:val="1"/>
                <w:numId w:val="3"/>
              </w:numPr>
              <w:spacing w:after="0"/>
              <w:ind w:left="792"/>
              <w:jc w:val="both"/>
              <w:rPr>
                <w:sz w:val="20"/>
                <w:szCs w:val="20"/>
              </w:rPr>
            </w:pPr>
            <w:r w:rsidRPr="009B287B">
              <w:rPr>
                <w:sz w:val="20"/>
                <w:szCs w:val="20"/>
              </w:rPr>
              <w:t>Rebate Arbitrage Calculations along with copies of the timely filed Form 8038-T and evidence of timely payment of any rebates due</w:t>
            </w:r>
          </w:p>
          <w:p w:rsidR="00202CBF" w:rsidRPr="00D81226" w:rsidRDefault="009B287B" w:rsidP="009B287B">
            <w:pPr>
              <w:pStyle w:val="ListParagraph"/>
              <w:numPr>
                <w:ilvl w:val="1"/>
                <w:numId w:val="3"/>
              </w:numPr>
              <w:spacing w:after="0"/>
              <w:ind w:left="792"/>
              <w:jc w:val="both"/>
              <w:rPr>
                <w:sz w:val="20"/>
                <w:szCs w:val="20"/>
              </w:rPr>
            </w:pPr>
            <w:r w:rsidRPr="009B287B">
              <w:rPr>
                <w:sz w:val="20"/>
                <w:szCs w:val="20"/>
              </w:rPr>
              <w:t>Evidence of any use arrangements which result in private use of property financed with proceeds from the debt issuance other than qualified private activity bonds</w:t>
            </w:r>
          </w:p>
        </w:tc>
      </w:tr>
    </w:tbl>
    <w:p w:rsidR="00864026" w:rsidRDefault="00864026" w:rsidP="00EF0ADF">
      <w:pPr>
        <w:pBdr>
          <w:bottom w:val="single" w:sz="4" w:space="1" w:color="FFFFFF"/>
        </w:pBdr>
        <w:tabs>
          <w:tab w:val="left" w:pos="6300"/>
        </w:tabs>
        <w:rPr>
          <w:color w:val="FFCC00"/>
        </w:rPr>
      </w:pPr>
    </w:p>
    <w:p w:rsidR="00DD04C2" w:rsidRPr="00F40B41" w:rsidRDefault="00F02300" w:rsidP="00DD04C2">
      <w:pPr>
        <w:pBdr>
          <w:bottom w:val="single" w:sz="4" w:space="1" w:color="FFFFFF"/>
        </w:pBdr>
        <w:shd w:val="clear" w:color="auto" w:fill="003366"/>
        <w:tabs>
          <w:tab w:val="left" w:pos="6300"/>
        </w:tabs>
        <w:ind w:left="-86"/>
        <w:rPr>
          <w:color w:val="FFCC00"/>
        </w:rPr>
      </w:pPr>
      <w:r>
        <w:rPr>
          <w:color w:val="FFCC00"/>
        </w:rPr>
        <w:t xml:space="preserve">VI. </w:t>
      </w:r>
      <w:r w:rsidR="00937214">
        <w:rPr>
          <w:color w:val="FFCC00"/>
        </w:rPr>
        <w:t>Private Business Use</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1998"/>
        <w:gridCol w:w="8010"/>
      </w:tblGrid>
      <w:tr w:rsidR="00DD04C2" w:rsidRPr="00D36F18" w:rsidTr="00D81226">
        <w:tc>
          <w:tcPr>
            <w:tcW w:w="1998" w:type="dxa"/>
            <w:tcBorders>
              <w:right w:val="single" w:sz="4" w:space="0" w:color="999999"/>
            </w:tcBorders>
          </w:tcPr>
          <w:p w:rsidR="00DD04C2" w:rsidRPr="00D36F18" w:rsidRDefault="00DD04C2" w:rsidP="00B754C4">
            <w:pPr>
              <w:rPr>
                <w:sz w:val="18"/>
                <w:szCs w:val="18"/>
              </w:rPr>
            </w:pPr>
          </w:p>
          <w:p w:rsidR="00DD04C2" w:rsidRPr="00D36F18" w:rsidRDefault="00DD04C2" w:rsidP="00B754C4">
            <w:pPr>
              <w:rPr>
                <w:sz w:val="18"/>
                <w:szCs w:val="18"/>
              </w:rPr>
            </w:pPr>
          </w:p>
        </w:tc>
        <w:tc>
          <w:tcPr>
            <w:tcW w:w="8010" w:type="dxa"/>
            <w:tcBorders>
              <w:top w:val="nil"/>
              <w:left w:val="single" w:sz="4" w:space="0" w:color="999999"/>
              <w:bottom w:val="nil"/>
            </w:tcBorders>
          </w:tcPr>
          <w:p w:rsidR="00937214" w:rsidRPr="00937214" w:rsidRDefault="00937214" w:rsidP="00937214">
            <w:pPr>
              <w:ind w:left="72"/>
              <w:jc w:val="both"/>
              <w:rPr>
                <w:sz w:val="20"/>
                <w:szCs w:val="20"/>
              </w:rPr>
            </w:pPr>
            <w:r w:rsidRPr="00937214">
              <w:rPr>
                <w:sz w:val="20"/>
                <w:szCs w:val="20"/>
              </w:rPr>
              <w:t xml:space="preserve">Each tax-advantaged debt issuance is subject to the limitation on the amount of “private use” permitted in the facilities funded by the debt issuance.  The applicable limit under section 141 of the Code is 10% </w:t>
            </w:r>
            <w:r w:rsidR="00EB702B">
              <w:rPr>
                <w:sz w:val="20"/>
                <w:szCs w:val="20"/>
              </w:rPr>
              <w:t xml:space="preserve">for related private </w:t>
            </w:r>
            <w:r w:rsidR="00F937A3">
              <w:rPr>
                <w:sz w:val="20"/>
                <w:szCs w:val="20"/>
              </w:rPr>
              <w:t>business</w:t>
            </w:r>
            <w:r w:rsidR="00EB702B">
              <w:rPr>
                <w:sz w:val="20"/>
                <w:szCs w:val="20"/>
              </w:rPr>
              <w:t xml:space="preserve"> uses and 5% for unrelated or </w:t>
            </w:r>
            <w:r w:rsidR="003D3718">
              <w:rPr>
                <w:sz w:val="20"/>
                <w:szCs w:val="20"/>
              </w:rPr>
              <w:t>disproportionate</w:t>
            </w:r>
            <w:r w:rsidR="00EB702B">
              <w:rPr>
                <w:sz w:val="20"/>
                <w:szCs w:val="20"/>
              </w:rPr>
              <w:t xml:space="preserve"> private business uses </w:t>
            </w:r>
            <w:r w:rsidRPr="00937214">
              <w:rPr>
                <w:sz w:val="20"/>
                <w:szCs w:val="20"/>
              </w:rPr>
              <w:t xml:space="preserve">for governmental debt issuances, subject to a cap per debt issuance of $15 million.  </w:t>
            </w:r>
            <w:r w:rsidRPr="00937214">
              <w:rPr>
                <w:sz w:val="20"/>
                <w:szCs w:val="20"/>
              </w:rPr>
              <w:lastRenderedPageBreak/>
              <w:t xml:space="preserve">Private use is defined to mean the use by any person other than a state or local government unit, including business corporations, partnerships, limited liability companies, associations, nonprofit corporations, natural persons engaged in a trade or business activity, and the United States of America and any federal agency, as a result of ownership of the property or use of the property under a lease, management or service contract (except for certain “qualified” </w:t>
            </w:r>
            <w:r w:rsidR="00EB702B">
              <w:rPr>
                <w:sz w:val="20"/>
                <w:szCs w:val="20"/>
              </w:rPr>
              <w:t xml:space="preserve">management or </w:t>
            </w:r>
            <w:r w:rsidRPr="00937214">
              <w:rPr>
                <w:sz w:val="20"/>
                <w:szCs w:val="20"/>
              </w:rPr>
              <w:t>research contracts). “naming rights” contracts, “public-private partnership” arrangements, or any similar arrangement that provides special legal entitlements for the use of tax-advantaged debt financed property.</w:t>
            </w:r>
          </w:p>
          <w:p w:rsidR="00937214" w:rsidRPr="00937214" w:rsidRDefault="00937214" w:rsidP="00937214">
            <w:pPr>
              <w:pStyle w:val="ListParagraph"/>
              <w:spacing w:after="0"/>
              <w:ind w:left="72"/>
              <w:jc w:val="both"/>
              <w:rPr>
                <w:b/>
                <w:sz w:val="20"/>
                <w:szCs w:val="20"/>
                <w:u w:val="single"/>
              </w:rPr>
            </w:pPr>
          </w:p>
          <w:p w:rsidR="00937214" w:rsidRPr="00DD04C2" w:rsidRDefault="00937214" w:rsidP="00D81226">
            <w:pPr>
              <w:ind w:left="72"/>
              <w:jc w:val="both"/>
              <w:rPr>
                <w:sz w:val="20"/>
                <w:szCs w:val="20"/>
              </w:rPr>
            </w:pPr>
            <w:r w:rsidRPr="00937214">
              <w:rPr>
                <w:sz w:val="20"/>
                <w:szCs w:val="20"/>
              </w:rPr>
              <w:t>Compliance with section 141 of the Code is monitored by the Tax Director.  Compliance procedures include the calculation of the private use percentage of bond proceeds on an annual basis for the life of each outstanding bond.  Private use calculations utilize capitalized project costs recorded and bond proceeds allocated which are maintained on the University’s official books and records by University Accounting.  Procedures include periodic reviews of the Rutgers Space Management department</w:t>
            </w:r>
            <w:r w:rsidR="00EB702B">
              <w:rPr>
                <w:sz w:val="20"/>
                <w:szCs w:val="20"/>
              </w:rPr>
              <w:t>’s</w:t>
            </w:r>
            <w:r w:rsidRPr="00937214">
              <w:rPr>
                <w:sz w:val="20"/>
                <w:szCs w:val="20"/>
              </w:rPr>
              <w:t xml:space="preserve"> recorded designation of each facility for amount of space and type of use by each University department and designation as lab, office, instruction, research, administration or common areas.  Procedures include on-site visits, </w:t>
            </w:r>
            <w:r w:rsidR="00EB702B">
              <w:rPr>
                <w:sz w:val="20"/>
                <w:szCs w:val="20"/>
              </w:rPr>
              <w:t xml:space="preserve">annual </w:t>
            </w:r>
            <w:r w:rsidRPr="00937214">
              <w:rPr>
                <w:sz w:val="20"/>
                <w:szCs w:val="20"/>
              </w:rPr>
              <w:t xml:space="preserve">questionnaires, review of floor plans, review of square footage allocations for each type of use, and review of the mixed uses of each facility.  Immediately upon determining a nonqualified bond status, debt will be remediated in accordance with the requirements under Regulations section 1.141-12 of the Code. </w:t>
            </w:r>
          </w:p>
        </w:tc>
      </w:tr>
    </w:tbl>
    <w:p w:rsidR="00937214" w:rsidRDefault="00937214" w:rsidP="00937214">
      <w:pPr>
        <w:pBdr>
          <w:bottom w:val="single" w:sz="4" w:space="1" w:color="FFFFFF"/>
        </w:pBdr>
        <w:tabs>
          <w:tab w:val="left" w:pos="6300"/>
        </w:tabs>
        <w:ind w:left="-86"/>
        <w:rPr>
          <w:color w:val="FFCC00"/>
        </w:rPr>
      </w:pPr>
    </w:p>
    <w:p w:rsidR="00937214" w:rsidRPr="00F40B41" w:rsidRDefault="00937214" w:rsidP="00937214">
      <w:pPr>
        <w:pBdr>
          <w:bottom w:val="single" w:sz="4" w:space="1" w:color="FFFFFF"/>
        </w:pBdr>
        <w:shd w:val="clear" w:color="auto" w:fill="003366"/>
        <w:tabs>
          <w:tab w:val="left" w:pos="6300"/>
        </w:tabs>
        <w:ind w:left="-86"/>
        <w:rPr>
          <w:color w:val="FFCC00"/>
        </w:rPr>
      </w:pPr>
      <w:r>
        <w:rPr>
          <w:color w:val="FFCC00"/>
        </w:rPr>
        <w:t>VII. Disclosure and Filings:</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1998"/>
        <w:gridCol w:w="8010"/>
      </w:tblGrid>
      <w:tr w:rsidR="00937214" w:rsidRPr="00D36F18" w:rsidTr="00D81226">
        <w:tc>
          <w:tcPr>
            <w:tcW w:w="1998" w:type="dxa"/>
            <w:tcBorders>
              <w:right w:val="single" w:sz="4" w:space="0" w:color="999999"/>
            </w:tcBorders>
          </w:tcPr>
          <w:p w:rsidR="00937214" w:rsidRPr="00D36F18" w:rsidRDefault="00937214" w:rsidP="00A37607">
            <w:pPr>
              <w:rPr>
                <w:sz w:val="18"/>
                <w:szCs w:val="18"/>
              </w:rPr>
            </w:pPr>
          </w:p>
          <w:p w:rsidR="00937214" w:rsidRPr="00D36F18" w:rsidRDefault="00937214" w:rsidP="00A37607">
            <w:pPr>
              <w:rPr>
                <w:sz w:val="18"/>
                <w:szCs w:val="18"/>
              </w:rPr>
            </w:pPr>
          </w:p>
        </w:tc>
        <w:tc>
          <w:tcPr>
            <w:tcW w:w="8010" w:type="dxa"/>
            <w:tcBorders>
              <w:top w:val="nil"/>
              <w:left w:val="single" w:sz="4" w:space="0" w:color="999999"/>
              <w:bottom w:val="nil"/>
            </w:tcBorders>
          </w:tcPr>
          <w:p w:rsidR="00937214" w:rsidRPr="00937214" w:rsidRDefault="00937214" w:rsidP="00937214">
            <w:pPr>
              <w:pStyle w:val="ListParagraph"/>
              <w:numPr>
                <w:ilvl w:val="0"/>
                <w:numId w:val="4"/>
              </w:numPr>
              <w:spacing w:after="0"/>
              <w:ind w:left="792"/>
              <w:jc w:val="both"/>
              <w:rPr>
                <w:sz w:val="20"/>
                <w:szCs w:val="20"/>
              </w:rPr>
            </w:pPr>
            <w:r w:rsidRPr="00937214">
              <w:rPr>
                <w:sz w:val="20"/>
                <w:szCs w:val="20"/>
              </w:rPr>
              <w:t>Ongoing information on the University’s financial condition must be provided to nationally recognized securities information repositories (through EMMA) – the form of this disclosure will imitate the tables provided in Appendix A</w:t>
            </w:r>
          </w:p>
          <w:p w:rsidR="00937214" w:rsidRPr="00937214" w:rsidRDefault="00937214" w:rsidP="00937214">
            <w:pPr>
              <w:pStyle w:val="ListParagraph"/>
              <w:numPr>
                <w:ilvl w:val="0"/>
                <w:numId w:val="4"/>
              </w:numPr>
              <w:spacing w:after="0"/>
              <w:ind w:left="792"/>
              <w:jc w:val="both"/>
              <w:rPr>
                <w:sz w:val="20"/>
                <w:szCs w:val="20"/>
              </w:rPr>
            </w:pPr>
            <w:r w:rsidRPr="00937214">
              <w:rPr>
                <w:sz w:val="20"/>
                <w:szCs w:val="20"/>
              </w:rPr>
              <w:t>Tax forms required by the IRS including the 8038 series forms</w:t>
            </w:r>
          </w:p>
          <w:p w:rsidR="00937214" w:rsidRPr="00937214" w:rsidRDefault="00937214" w:rsidP="00937214">
            <w:pPr>
              <w:pStyle w:val="ListParagraph"/>
              <w:numPr>
                <w:ilvl w:val="0"/>
                <w:numId w:val="4"/>
              </w:numPr>
              <w:spacing w:after="0"/>
              <w:ind w:left="792"/>
              <w:jc w:val="both"/>
              <w:rPr>
                <w:sz w:val="20"/>
                <w:szCs w:val="20"/>
              </w:rPr>
            </w:pPr>
            <w:r w:rsidRPr="00937214">
              <w:rPr>
                <w:sz w:val="20"/>
                <w:szCs w:val="20"/>
              </w:rPr>
              <w:t>Forms as required by the State for any debt issued through a State authority for the benefit of the University</w:t>
            </w:r>
          </w:p>
          <w:p w:rsidR="00937214" w:rsidRPr="00D81226" w:rsidRDefault="00937214" w:rsidP="00A37607">
            <w:pPr>
              <w:pStyle w:val="ListParagraph"/>
              <w:numPr>
                <w:ilvl w:val="0"/>
                <w:numId w:val="4"/>
              </w:numPr>
              <w:spacing w:after="0"/>
              <w:ind w:left="792"/>
              <w:jc w:val="both"/>
              <w:rPr>
                <w:sz w:val="20"/>
                <w:szCs w:val="20"/>
              </w:rPr>
            </w:pPr>
            <w:r w:rsidRPr="00937214">
              <w:rPr>
                <w:sz w:val="20"/>
                <w:szCs w:val="20"/>
              </w:rPr>
              <w:t>Rebate Arbitrage Reports will be filed with the Trustee in accordance with the schedule as required in section 148 of the Code</w:t>
            </w:r>
          </w:p>
        </w:tc>
      </w:tr>
    </w:tbl>
    <w:p w:rsidR="0093198F" w:rsidRDefault="0093198F" w:rsidP="00937214">
      <w:pPr>
        <w:spacing w:after="120"/>
        <w:rPr>
          <w:sz w:val="20"/>
          <w:szCs w:val="20"/>
        </w:rPr>
      </w:pPr>
    </w:p>
    <w:p w:rsidR="00937214" w:rsidRPr="00F40B41" w:rsidRDefault="00937214" w:rsidP="00937214">
      <w:pPr>
        <w:pBdr>
          <w:bottom w:val="single" w:sz="4" w:space="1" w:color="FFFFFF"/>
        </w:pBdr>
        <w:shd w:val="clear" w:color="auto" w:fill="003366"/>
        <w:tabs>
          <w:tab w:val="left" w:pos="6300"/>
        </w:tabs>
        <w:ind w:left="-86"/>
        <w:rPr>
          <w:color w:val="FFCC00"/>
        </w:rPr>
      </w:pPr>
      <w:r>
        <w:rPr>
          <w:color w:val="FFCC00"/>
        </w:rPr>
        <w:t>VIII. Data Management</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1998"/>
        <w:gridCol w:w="8010"/>
      </w:tblGrid>
      <w:tr w:rsidR="00937214" w:rsidRPr="00D36F18" w:rsidTr="00D81226">
        <w:tc>
          <w:tcPr>
            <w:tcW w:w="1998" w:type="dxa"/>
            <w:tcBorders>
              <w:right w:val="single" w:sz="4" w:space="0" w:color="999999"/>
            </w:tcBorders>
          </w:tcPr>
          <w:p w:rsidR="00937214" w:rsidRPr="00D36F18" w:rsidRDefault="00937214" w:rsidP="00A37607">
            <w:pPr>
              <w:rPr>
                <w:sz w:val="18"/>
                <w:szCs w:val="18"/>
              </w:rPr>
            </w:pPr>
          </w:p>
          <w:p w:rsidR="00937214" w:rsidRPr="00D36F18" w:rsidRDefault="00937214" w:rsidP="00A37607">
            <w:pPr>
              <w:rPr>
                <w:sz w:val="18"/>
                <w:szCs w:val="18"/>
              </w:rPr>
            </w:pPr>
          </w:p>
        </w:tc>
        <w:tc>
          <w:tcPr>
            <w:tcW w:w="8010" w:type="dxa"/>
            <w:tcBorders>
              <w:top w:val="nil"/>
              <w:left w:val="single" w:sz="4" w:space="0" w:color="999999"/>
              <w:bottom w:val="nil"/>
            </w:tcBorders>
          </w:tcPr>
          <w:p w:rsidR="00937214" w:rsidRPr="00937214" w:rsidRDefault="00937214" w:rsidP="00EB702B">
            <w:pPr>
              <w:ind w:left="72"/>
              <w:jc w:val="both"/>
              <w:rPr>
                <w:sz w:val="20"/>
                <w:szCs w:val="20"/>
              </w:rPr>
            </w:pPr>
            <w:r w:rsidRPr="00937214">
              <w:rPr>
                <w:sz w:val="20"/>
                <w:szCs w:val="20"/>
              </w:rPr>
              <w:t xml:space="preserve">The University employs a debt management system provided </w:t>
            </w:r>
            <w:r w:rsidR="00EB702B">
              <w:rPr>
                <w:sz w:val="20"/>
                <w:szCs w:val="20"/>
              </w:rPr>
              <w:t xml:space="preserve">by </w:t>
            </w:r>
            <w:r w:rsidRPr="00937214">
              <w:rPr>
                <w:sz w:val="20"/>
                <w:szCs w:val="20"/>
              </w:rPr>
              <w:t>the University’s financial advisor to track and maintain information on the debt issued by the University.</w:t>
            </w:r>
          </w:p>
        </w:tc>
      </w:tr>
    </w:tbl>
    <w:p w:rsidR="00937214" w:rsidRDefault="00937214" w:rsidP="00937214">
      <w:pPr>
        <w:spacing w:after="120"/>
        <w:rPr>
          <w:sz w:val="20"/>
          <w:szCs w:val="20"/>
        </w:rPr>
      </w:pPr>
    </w:p>
    <w:p w:rsidR="00937214" w:rsidRPr="00F40B41" w:rsidRDefault="00937214" w:rsidP="00937214">
      <w:pPr>
        <w:pBdr>
          <w:bottom w:val="single" w:sz="4" w:space="1" w:color="FFFFFF"/>
        </w:pBdr>
        <w:shd w:val="clear" w:color="auto" w:fill="003366"/>
        <w:tabs>
          <w:tab w:val="left" w:pos="6300"/>
        </w:tabs>
        <w:ind w:left="-86"/>
        <w:rPr>
          <w:color w:val="FFCC00"/>
        </w:rPr>
      </w:pPr>
      <w:r>
        <w:rPr>
          <w:color w:val="FFCC00"/>
        </w:rPr>
        <w:t>IX. Continuity and Ongoing Review</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1998"/>
        <w:gridCol w:w="8010"/>
      </w:tblGrid>
      <w:tr w:rsidR="00937214" w:rsidRPr="00D36F18" w:rsidTr="00D81226">
        <w:tc>
          <w:tcPr>
            <w:tcW w:w="1998" w:type="dxa"/>
            <w:tcBorders>
              <w:right w:val="single" w:sz="4" w:space="0" w:color="999999"/>
            </w:tcBorders>
          </w:tcPr>
          <w:p w:rsidR="00937214" w:rsidRPr="00D36F18" w:rsidRDefault="00937214" w:rsidP="00A37607">
            <w:pPr>
              <w:rPr>
                <w:sz w:val="18"/>
                <w:szCs w:val="18"/>
              </w:rPr>
            </w:pPr>
          </w:p>
          <w:p w:rsidR="00937214" w:rsidRPr="00D36F18" w:rsidRDefault="00937214" w:rsidP="00A37607">
            <w:pPr>
              <w:rPr>
                <w:sz w:val="18"/>
                <w:szCs w:val="18"/>
              </w:rPr>
            </w:pPr>
          </w:p>
        </w:tc>
        <w:tc>
          <w:tcPr>
            <w:tcW w:w="8010" w:type="dxa"/>
            <w:tcBorders>
              <w:top w:val="nil"/>
              <w:left w:val="single" w:sz="4" w:space="0" w:color="999999"/>
              <w:bottom w:val="nil"/>
            </w:tcBorders>
          </w:tcPr>
          <w:p w:rsidR="00937214" w:rsidRPr="00937214" w:rsidRDefault="00937214" w:rsidP="00937214">
            <w:pPr>
              <w:jc w:val="both"/>
              <w:rPr>
                <w:sz w:val="20"/>
                <w:szCs w:val="20"/>
                <w:u w:val="single"/>
              </w:rPr>
            </w:pPr>
            <w:r w:rsidRPr="00937214">
              <w:rPr>
                <w:sz w:val="20"/>
                <w:szCs w:val="20"/>
              </w:rPr>
              <w:t>To provide continuity of compliance with post issuance debt requirements, the University has implemented:</w:t>
            </w:r>
          </w:p>
          <w:p w:rsidR="00937214" w:rsidRPr="00937214" w:rsidRDefault="00937214" w:rsidP="00937214">
            <w:pPr>
              <w:pStyle w:val="ListParagraph"/>
              <w:numPr>
                <w:ilvl w:val="1"/>
                <w:numId w:val="5"/>
              </w:numPr>
              <w:spacing w:after="0"/>
              <w:ind w:left="792"/>
              <w:jc w:val="both"/>
              <w:rPr>
                <w:sz w:val="20"/>
                <w:szCs w:val="20"/>
                <w:u w:val="single"/>
              </w:rPr>
            </w:pPr>
            <w:r w:rsidRPr="00937214">
              <w:rPr>
                <w:sz w:val="20"/>
                <w:szCs w:val="20"/>
              </w:rPr>
              <w:t>Quarterly review of the spending on projects financed through tax-advantaged debt issuance</w:t>
            </w:r>
          </w:p>
          <w:p w:rsidR="00937214" w:rsidRPr="00937214" w:rsidRDefault="00937214" w:rsidP="00937214">
            <w:pPr>
              <w:pStyle w:val="ListParagraph"/>
              <w:numPr>
                <w:ilvl w:val="1"/>
                <w:numId w:val="5"/>
              </w:numPr>
              <w:spacing w:after="0"/>
              <w:ind w:left="792"/>
              <w:jc w:val="both"/>
              <w:rPr>
                <w:sz w:val="20"/>
                <w:szCs w:val="20"/>
                <w:u w:val="single"/>
              </w:rPr>
            </w:pPr>
            <w:r w:rsidRPr="00937214">
              <w:rPr>
                <w:sz w:val="20"/>
                <w:szCs w:val="20"/>
              </w:rPr>
              <w:t xml:space="preserve">Debt Compliance Schedule with key dates noted </w:t>
            </w:r>
          </w:p>
          <w:p w:rsidR="00937214" w:rsidRPr="00D81226" w:rsidRDefault="00937214" w:rsidP="00D81226">
            <w:pPr>
              <w:pStyle w:val="ListParagraph"/>
              <w:numPr>
                <w:ilvl w:val="1"/>
                <w:numId w:val="5"/>
              </w:numPr>
              <w:spacing w:after="0"/>
              <w:ind w:left="792"/>
              <w:jc w:val="both"/>
              <w:rPr>
                <w:sz w:val="20"/>
                <w:szCs w:val="20"/>
                <w:u w:val="single"/>
              </w:rPr>
            </w:pPr>
            <w:r w:rsidRPr="00937214">
              <w:rPr>
                <w:sz w:val="20"/>
                <w:szCs w:val="20"/>
              </w:rPr>
              <w:t>Annual Private Use Questionnaire</w:t>
            </w:r>
          </w:p>
        </w:tc>
      </w:tr>
    </w:tbl>
    <w:p w:rsidR="00937214" w:rsidRPr="00473145" w:rsidRDefault="00937214" w:rsidP="00937214">
      <w:pPr>
        <w:spacing w:after="120"/>
        <w:rPr>
          <w:sz w:val="20"/>
          <w:szCs w:val="20"/>
        </w:rPr>
      </w:pPr>
    </w:p>
    <w:sectPr w:rsidR="00937214" w:rsidRPr="00473145" w:rsidSect="00513EA5">
      <w:footerReference w:type="default" r:id="rId9"/>
      <w:pgSz w:w="12240" w:h="15840"/>
      <w:pgMar w:top="1440" w:right="1080" w:bottom="1440" w:left="1260" w:header="720" w:footer="4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5A" w:rsidRDefault="00630C5A">
      <w:r>
        <w:separator/>
      </w:r>
    </w:p>
  </w:endnote>
  <w:endnote w:type="continuationSeparator" w:id="0">
    <w:p w:rsidR="00630C5A" w:rsidRDefault="006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lliard">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6E" w:rsidRPr="005A5196" w:rsidRDefault="0079258C" w:rsidP="007E72C5">
    <w:pPr>
      <w:pStyle w:val="Footer"/>
      <w:pBdr>
        <w:top w:val="single" w:sz="4" w:space="1" w:color="auto"/>
      </w:pBdr>
      <w:tabs>
        <w:tab w:val="clear" w:pos="4320"/>
        <w:tab w:val="clear" w:pos="8640"/>
        <w:tab w:val="center" w:pos="6480"/>
        <w:tab w:val="right" w:pos="12960"/>
      </w:tabs>
      <w:rPr>
        <w:rFonts w:ascii="Franklin Gothic Book" w:hAnsi="Franklin Gothic Book"/>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3pt;width:41.75pt;height:42.65pt;z-index:-251658752">
          <v:imagedata r:id="rId1" o:title=""/>
        </v:shape>
        <o:OLEObject Type="Embed" ProgID="MSPhotoEd.3" ShapeID="_x0000_s2053" DrawAspect="Content" ObjectID="_1546932214" r:id="rId2"/>
      </w:object>
    </w:r>
    <w:r w:rsidR="0079696E">
      <w:tab/>
    </w:r>
    <w:r w:rsidR="00E1384A">
      <w:rPr>
        <w:rStyle w:val="PageNumber"/>
        <w:rFonts w:ascii="Franklin Gothic Book" w:hAnsi="Franklin Gothic Book"/>
      </w:rPr>
      <w:fldChar w:fldCharType="begin"/>
    </w:r>
    <w:r w:rsidR="0079696E">
      <w:rPr>
        <w:rStyle w:val="PageNumber"/>
        <w:rFonts w:ascii="Franklin Gothic Book" w:hAnsi="Franklin Gothic Book"/>
      </w:rPr>
      <w:instrText xml:space="preserve"> PAGE  \* Arabic  \* MERGEFORMAT </w:instrText>
    </w:r>
    <w:r w:rsidR="00E1384A">
      <w:rPr>
        <w:rStyle w:val="PageNumber"/>
        <w:rFonts w:ascii="Franklin Gothic Book" w:hAnsi="Franklin Gothic Book"/>
      </w:rPr>
      <w:fldChar w:fldCharType="separate"/>
    </w:r>
    <w:r>
      <w:rPr>
        <w:rStyle w:val="PageNumber"/>
        <w:rFonts w:ascii="Franklin Gothic Book" w:hAnsi="Franklin Gothic Book"/>
        <w:noProof/>
      </w:rPr>
      <w:t>1</w:t>
    </w:r>
    <w:r w:rsidR="00E1384A">
      <w:rPr>
        <w:rStyle w:val="PageNumber"/>
        <w:rFonts w:ascii="Franklin Gothic Book" w:hAnsi="Franklin Gothic Book"/>
      </w:rPr>
      <w:fldChar w:fldCharType="end"/>
    </w:r>
    <w:r w:rsidR="0079696E">
      <w:rPr>
        <w:rStyle w:val="PageNumber"/>
      </w:rPr>
      <w:tab/>
    </w:r>
  </w:p>
  <w:p w:rsidR="0079696E" w:rsidRDefault="00796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5A" w:rsidRDefault="00630C5A">
      <w:r>
        <w:separator/>
      </w:r>
    </w:p>
  </w:footnote>
  <w:footnote w:type="continuationSeparator" w:id="0">
    <w:p w:rsidR="00630C5A" w:rsidRDefault="00630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3ADD"/>
    <w:multiLevelType w:val="hybridMultilevel"/>
    <w:tmpl w:val="0C348198"/>
    <w:lvl w:ilvl="0" w:tplc="A31A9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F2ACF"/>
    <w:multiLevelType w:val="hybridMultilevel"/>
    <w:tmpl w:val="1EE6D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C06B46"/>
    <w:multiLevelType w:val="hybridMultilevel"/>
    <w:tmpl w:val="0C348198"/>
    <w:lvl w:ilvl="0" w:tplc="A31A9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52A46"/>
    <w:multiLevelType w:val="hybridMultilevel"/>
    <w:tmpl w:val="0C348198"/>
    <w:lvl w:ilvl="0" w:tplc="A31A9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73CA9"/>
    <w:multiLevelType w:val="hybridMultilevel"/>
    <w:tmpl w:val="0C348198"/>
    <w:lvl w:ilvl="0" w:tplc="A31A9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colormru v:ext="edit" colors="#e8e8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8"/>
    <w:rsid w:val="000002BC"/>
    <w:rsid w:val="000008B5"/>
    <w:rsid w:val="00003BF2"/>
    <w:rsid w:val="000041E5"/>
    <w:rsid w:val="00012EE6"/>
    <w:rsid w:val="0001739C"/>
    <w:rsid w:val="00020EC5"/>
    <w:rsid w:val="00022158"/>
    <w:rsid w:val="00033B11"/>
    <w:rsid w:val="00036571"/>
    <w:rsid w:val="000367FF"/>
    <w:rsid w:val="00040711"/>
    <w:rsid w:val="0005232A"/>
    <w:rsid w:val="00052ED2"/>
    <w:rsid w:val="00062492"/>
    <w:rsid w:val="000667C5"/>
    <w:rsid w:val="00082E34"/>
    <w:rsid w:val="00087AC1"/>
    <w:rsid w:val="0009300C"/>
    <w:rsid w:val="000945C9"/>
    <w:rsid w:val="00095961"/>
    <w:rsid w:val="000A0A45"/>
    <w:rsid w:val="000A0CCE"/>
    <w:rsid w:val="000A25EF"/>
    <w:rsid w:val="000A2BB5"/>
    <w:rsid w:val="000A2BC5"/>
    <w:rsid w:val="000B083C"/>
    <w:rsid w:val="000B2DD7"/>
    <w:rsid w:val="000B3EA2"/>
    <w:rsid w:val="000B3FBB"/>
    <w:rsid w:val="000B7529"/>
    <w:rsid w:val="000C2F12"/>
    <w:rsid w:val="000C3532"/>
    <w:rsid w:val="000C55DB"/>
    <w:rsid w:val="000D04FF"/>
    <w:rsid w:val="000D0860"/>
    <w:rsid w:val="000D1647"/>
    <w:rsid w:val="000E1EC0"/>
    <w:rsid w:val="000E26C2"/>
    <w:rsid w:val="000E3B98"/>
    <w:rsid w:val="000E6FB7"/>
    <w:rsid w:val="000F5BF4"/>
    <w:rsid w:val="00103783"/>
    <w:rsid w:val="00110F42"/>
    <w:rsid w:val="001120E5"/>
    <w:rsid w:val="00112EB1"/>
    <w:rsid w:val="0011497C"/>
    <w:rsid w:val="00114B96"/>
    <w:rsid w:val="00116FF7"/>
    <w:rsid w:val="00120B98"/>
    <w:rsid w:val="00125878"/>
    <w:rsid w:val="00130DBF"/>
    <w:rsid w:val="00131DFF"/>
    <w:rsid w:val="00132113"/>
    <w:rsid w:val="00133012"/>
    <w:rsid w:val="00135413"/>
    <w:rsid w:val="0013588F"/>
    <w:rsid w:val="00137C2A"/>
    <w:rsid w:val="00144E01"/>
    <w:rsid w:val="00161C07"/>
    <w:rsid w:val="00161DF6"/>
    <w:rsid w:val="00167A19"/>
    <w:rsid w:val="001724EF"/>
    <w:rsid w:val="00172F5B"/>
    <w:rsid w:val="00173EBC"/>
    <w:rsid w:val="00175952"/>
    <w:rsid w:val="0018066F"/>
    <w:rsid w:val="00184D3C"/>
    <w:rsid w:val="0018543C"/>
    <w:rsid w:val="00186374"/>
    <w:rsid w:val="001901E3"/>
    <w:rsid w:val="0019492F"/>
    <w:rsid w:val="001A2FC7"/>
    <w:rsid w:val="001A33E2"/>
    <w:rsid w:val="001A4ACB"/>
    <w:rsid w:val="001A7980"/>
    <w:rsid w:val="001B072B"/>
    <w:rsid w:val="001B50F4"/>
    <w:rsid w:val="001B792E"/>
    <w:rsid w:val="001D019C"/>
    <w:rsid w:val="001D0C0D"/>
    <w:rsid w:val="001D23F8"/>
    <w:rsid w:val="001D54EE"/>
    <w:rsid w:val="001E4252"/>
    <w:rsid w:val="00202C65"/>
    <w:rsid w:val="00202CBF"/>
    <w:rsid w:val="00203B5B"/>
    <w:rsid w:val="002042D3"/>
    <w:rsid w:val="00213E7A"/>
    <w:rsid w:val="00222958"/>
    <w:rsid w:val="002241C5"/>
    <w:rsid w:val="0022435F"/>
    <w:rsid w:val="002249DB"/>
    <w:rsid w:val="002254C7"/>
    <w:rsid w:val="00230948"/>
    <w:rsid w:val="00234982"/>
    <w:rsid w:val="00237135"/>
    <w:rsid w:val="00250687"/>
    <w:rsid w:val="00251F40"/>
    <w:rsid w:val="00253B09"/>
    <w:rsid w:val="0025618C"/>
    <w:rsid w:val="00261E52"/>
    <w:rsid w:val="00262AD3"/>
    <w:rsid w:val="002668A6"/>
    <w:rsid w:val="002743E1"/>
    <w:rsid w:val="00291C7E"/>
    <w:rsid w:val="002A0395"/>
    <w:rsid w:val="002A054B"/>
    <w:rsid w:val="002A7BE3"/>
    <w:rsid w:val="002B1839"/>
    <w:rsid w:val="002B27D9"/>
    <w:rsid w:val="002B397D"/>
    <w:rsid w:val="002C0C05"/>
    <w:rsid w:val="002C3BB6"/>
    <w:rsid w:val="002C4C1E"/>
    <w:rsid w:val="002D088A"/>
    <w:rsid w:val="002D399F"/>
    <w:rsid w:val="002D64B5"/>
    <w:rsid w:val="002D767F"/>
    <w:rsid w:val="002D79C4"/>
    <w:rsid w:val="002E2D6A"/>
    <w:rsid w:val="002E58B4"/>
    <w:rsid w:val="002E6D10"/>
    <w:rsid w:val="002F4EE9"/>
    <w:rsid w:val="002F5033"/>
    <w:rsid w:val="002F52B5"/>
    <w:rsid w:val="002F56F1"/>
    <w:rsid w:val="00307328"/>
    <w:rsid w:val="003073EF"/>
    <w:rsid w:val="0031169F"/>
    <w:rsid w:val="00311C49"/>
    <w:rsid w:val="00313693"/>
    <w:rsid w:val="00315B74"/>
    <w:rsid w:val="003161C7"/>
    <w:rsid w:val="00316795"/>
    <w:rsid w:val="00317515"/>
    <w:rsid w:val="00321D03"/>
    <w:rsid w:val="00324F26"/>
    <w:rsid w:val="00333A0B"/>
    <w:rsid w:val="0034134F"/>
    <w:rsid w:val="00350E96"/>
    <w:rsid w:val="0035789D"/>
    <w:rsid w:val="003610DF"/>
    <w:rsid w:val="00362EB2"/>
    <w:rsid w:val="003642B2"/>
    <w:rsid w:val="003702FB"/>
    <w:rsid w:val="00371C38"/>
    <w:rsid w:val="0037329A"/>
    <w:rsid w:val="00374BB4"/>
    <w:rsid w:val="003758EF"/>
    <w:rsid w:val="00376280"/>
    <w:rsid w:val="003768FF"/>
    <w:rsid w:val="00376A27"/>
    <w:rsid w:val="00381129"/>
    <w:rsid w:val="00382585"/>
    <w:rsid w:val="00383A74"/>
    <w:rsid w:val="00385C33"/>
    <w:rsid w:val="0038664E"/>
    <w:rsid w:val="00387F0E"/>
    <w:rsid w:val="003935DE"/>
    <w:rsid w:val="003939FD"/>
    <w:rsid w:val="00397AAA"/>
    <w:rsid w:val="003A2BBB"/>
    <w:rsid w:val="003A374F"/>
    <w:rsid w:val="003B031F"/>
    <w:rsid w:val="003B0A28"/>
    <w:rsid w:val="003B488A"/>
    <w:rsid w:val="003C0795"/>
    <w:rsid w:val="003C788B"/>
    <w:rsid w:val="003D3718"/>
    <w:rsid w:val="003D39F7"/>
    <w:rsid w:val="003D6531"/>
    <w:rsid w:val="003F271D"/>
    <w:rsid w:val="003F34E3"/>
    <w:rsid w:val="00415A07"/>
    <w:rsid w:val="00421527"/>
    <w:rsid w:val="00424A0A"/>
    <w:rsid w:val="004276F9"/>
    <w:rsid w:val="00427C1A"/>
    <w:rsid w:val="004340B5"/>
    <w:rsid w:val="0044125C"/>
    <w:rsid w:val="00442F33"/>
    <w:rsid w:val="00446E02"/>
    <w:rsid w:val="00453C13"/>
    <w:rsid w:val="00454179"/>
    <w:rsid w:val="00455586"/>
    <w:rsid w:val="00456132"/>
    <w:rsid w:val="0046170F"/>
    <w:rsid w:val="00465857"/>
    <w:rsid w:val="004711A2"/>
    <w:rsid w:val="00473145"/>
    <w:rsid w:val="00476E6A"/>
    <w:rsid w:val="00481771"/>
    <w:rsid w:val="00481C9F"/>
    <w:rsid w:val="004935F2"/>
    <w:rsid w:val="004968CE"/>
    <w:rsid w:val="004A0A7B"/>
    <w:rsid w:val="004A2F73"/>
    <w:rsid w:val="004A36DF"/>
    <w:rsid w:val="004B3433"/>
    <w:rsid w:val="004B3682"/>
    <w:rsid w:val="004B54C3"/>
    <w:rsid w:val="004B7A45"/>
    <w:rsid w:val="004C0E08"/>
    <w:rsid w:val="004C1F0D"/>
    <w:rsid w:val="004D398B"/>
    <w:rsid w:val="004D5085"/>
    <w:rsid w:val="004D7074"/>
    <w:rsid w:val="004E5F4E"/>
    <w:rsid w:val="004E73A3"/>
    <w:rsid w:val="004F77CA"/>
    <w:rsid w:val="005034B9"/>
    <w:rsid w:val="005035B8"/>
    <w:rsid w:val="00504A4A"/>
    <w:rsid w:val="00504B68"/>
    <w:rsid w:val="0050544C"/>
    <w:rsid w:val="00505E60"/>
    <w:rsid w:val="00513EA5"/>
    <w:rsid w:val="00514D6D"/>
    <w:rsid w:val="00515D23"/>
    <w:rsid w:val="00515D9B"/>
    <w:rsid w:val="00521CEF"/>
    <w:rsid w:val="00525ED2"/>
    <w:rsid w:val="0053019E"/>
    <w:rsid w:val="005304E2"/>
    <w:rsid w:val="00543055"/>
    <w:rsid w:val="005437DA"/>
    <w:rsid w:val="0054404C"/>
    <w:rsid w:val="005524A2"/>
    <w:rsid w:val="005578B0"/>
    <w:rsid w:val="00557EB8"/>
    <w:rsid w:val="0057332D"/>
    <w:rsid w:val="005745D5"/>
    <w:rsid w:val="00575B5D"/>
    <w:rsid w:val="00580B8E"/>
    <w:rsid w:val="00581409"/>
    <w:rsid w:val="00591DAE"/>
    <w:rsid w:val="00592CD8"/>
    <w:rsid w:val="005A0E7C"/>
    <w:rsid w:val="005A5196"/>
    <w:rsid w:val="005A5AF8"/>
    <w:rsid w:val="005B17CF"/>
    <w:rsid w:val="005B3521"/>
    <w:rsid w:val="005B56FA"/>
    <w:rsid w:val="005C006C"/>
    <w:rsid w:val="005C1547"/>
    <w:rsid w:val="005C1772"/>
    <w:rsid w:val="005C18CD"/>
    <w:rsid w:val="005C40A3"/>
    <w:rsid w:val="005C68FC"/>
    <w:rsid w:val="005D0760"/>
    <w:rsid w:val="005D1042"/>
    <w:rsid w:val="005D29BF"/>
    <w:rsid w:val="005E097D"/>
    <w:rsid w:val="005E5A12"/>
    <w:rsid w:val="005E616E"/>
    <w:rsid w:val="005F136A"/>
    <w:rsid w:val="005F1E64"/>
    <w:rsid w:val="00600AB7"/>
    <w:rsid w:val="0060385B"/>
    <w:rsid w:val="00630C5A"/>
    <w:rsid w:val="0063215B"/>
    <w:rsid w:val="00633989"/>
    <w:rsid w:val="006361F8"/>
    <w:rsid w:val="00636E65"/>
    <w:rsid w:val="0064071B"/>
    <w:rsid w:val="00641456"/>
    <w:rsid w:val="00643C9E"/>
    <w:rsid w:val="00646478"/>
    <w:rsid w:val="006532F1"/>
    <w:rsid w:val="006535EE"/>
    <w:rsid w:val="00662F7E"/>
    <w:rsid w:val="00664D3E"/>
    <w:rsid w:val="0067276B"/>
    <w:rsid w:val="00677EDC"/>
    <w:rsid w:val="006810A6"/>
    <w:rsid w:val="00681940"/>
    <w:rsid w:val="006850BA"/>
    <w:rsid w:val="00685980"/>
    <w:rsid w:val="0068786B"/>
    <w:rsid w:val="00691953"/>
    <w:rsid w:val="00693B15"/>
    <w:rsid w:val="0069550E"/>
    <w:rsid w:val="006979AC"/>
    <w:rsid w:val="006A5AE7"/>
    <w:rsid w:val="006A6D47"/>
    <w:rsid w:val="006A798C"/>
    <w:rsid w:val="006B41C3"/>
    <w:rsid w:val="006B65E1"/>
    <w:rsid w:val="006B6775"/>
    <w:rsid w:val="006B787D"/>
    <w:rsid w:val="006C3D68"/>
    <w:rsid w:val="006C51AD"/>
    <w:rsid w:val="006C5498"/>
    <w:rsid w:val="006E5D75"/>
    <w:rsid w:val="006E75FC"/>
    <w:rsid w:val="006F11D4"/>
    <w:rsid w:val="006F21BB"/>
    <w:rsid w:val="00702925"/>
    <w:rsid w:val="0070592C"/>
    <w:rsid w:val="00707FC1"/>
    <w:rsid w:val="00713A06"/>
    <w:rsid w:val="00713FD1"/>
    <w:rsid w:val="00716A5B"/>
    <w:rsid w:val="00732956"/>
    <w:rsid w:val="00732A0B"/>
    <w:rsid w:val="00741443"/>
    <w:rsid w:val="00746A82"/>
    <w:rsid w:val="00750043"/>
    <w:rsid w:val="007532B4"/>
    <w:rsid w:val="00757D4F"/>
    <w:rsid w:val="00765550"/>
    <w:rsid w:val="00766672"/>
    <w:rsid w:val="00766B4A"/>
    <w:rsid w:val="0078354C"/>
    <w:rsid w:val="00786BF0"/>
    <w:rsid w:val="00787631"/>
    <w:rsid w:val="0079258C"/>
    <w:rsid w:val="0079356A"/>
    <w:rsid w:val="007935DE"/>
    <w:rsid w:val="0079390D"/>
    <w:rsid w:val="0079696E"/>
    <w:rsid w:val="007976BD"/>
    <w:rsid w:val="007A017A"/>
    <w:rsid w:val="007A4B0D"/>
    <w:rsid w:val="007A587A"/>
    <w:rsid w:val="007A6F97"/>
    <w:rsid w:val="007B0C60"/>
    <w:rsid w:val="007B254D"/>
    <w:rsid w:val="007B302B"/>
    <w:rsid w:val="007B38F1"/>
    <w:rsid w:val="007B5F9C"/>
    <w:rsid w:val="007C0231"/>
    <w:rsid w:val="007C35AA"/>
    <w:rsid w:val="007C4BDF"/>
    <w:rsid w:val="007C7150"/>
    <w:rsid w:val="007D364F"/>
    <w:rsid w:val="007E0C21"/>
    <w:rsid w:val="007E6792"/>
    <w:rsid w:val="007E72C5"/>
    <w:rsid w:val="007F0E38"/>
    <w:rsid w:val="007F367C"/>
    <w:rsid w:val="007F3933"/>
    <w:rsid w:val="007F40AE"/>
    <w:rsid w:val="007F453A"/>
    <w:rsid w:val="00803FD4"/>
    <w:rsid w:val="00826408"/>
    <w:rsid w:val="008268BE"/>
    <w:rsid w:val="00826F09"/>
    <w:rsid w:val="008271C1"/>
    <w:rsid w:val="00830A1D"/>
    <w:rsid w:val="008328B6"/>
    <w:rsid w:val="00841B88"/>
    <w:rsid w:val="00841F95"/>
    <w:rsid w:val="00845AA0"/>
    <w:rsid w:val="0085357A"/>
    <w:rsid w:val="0085498F"/>
    <w:rsid w:val="00857689"/>
    <w:rsid w:val="008600DC"/>
    <w:rsid w:val="008634EB"/>
    <w:rsid w:val="00864026"/>
    <w:rsid w:val="00864CF7"/>
    <w:rsid w:val="00865187"/>
    <w:rsid w:val="00872685"/>
    <w:rsid w:val="008771C6"/>
    <w:rsid w:val="0088144E"/>
    <w:rsid w:val="00883C5A"/>
    <w:rsid w:val="008840BD"/>
    <w:rsid w:val="0089034D"/>
    <w:rsid w:val="00891BDE"/>
    <w:rsid w:val="008920FD"/>
    <w:rsid w:val="00893C55"/>
    <w:rsid w:val="00895CCA"/>
    <w:rsid w:val="008977CC"/>
    <w:rsid w:val="008A1B03"/>
    <w:rsid w:val="008A1F56"/>
    <w:rsid w:val="008A74D9"/>
    <w:rsid w:val="008B4F0C"/>
    <w:rsid w:val="008B63A3"/>
    <w:rsid w:val="008B785D"/>
    <w:rsid w:val="008C5DA8"/>
    <w:rsid w:val="008D2FA9"/>
    <w:rsid w:val="008D7A34"/>
    <w:rsid w:val="008E0558"/>
    <w:rsid w:val="008E29CB"/>
    <w:rsid w:val="008F4C01"/>
    <w:rsid w:val="0090088C"/>
    <w:rsid w:val="009031A4"/>
    <w:rsid w:val="00911809"/>
    <w:rsid w:val="00912F11"/>
    <w:rsid w:val="009235AE"/>
    <w:rsid w:val="00930F73"/>
    <w:rsid w:val="0093198F"/>
    <w:rsid w:val="00932D85"/>
    <w:rsid w:val="00936667"/>
    <w:rsid w:val="00937214"/>
    <w:rsid w:val="00943354"/>
    <w:rsid w:val="00943D83"/>
    <w:rsid w:val="00943FDD"/>
    <w:rsid w:val="009546DF"/>
    <w:rsid w:val="0095641C"/>
    <w:rsid w:val="00962106"/>
    <w:rsid w:val="00966197"/>
    <w:rsid w:val="009674F9"/>
    <w:rsid w:val="00971244"/>
    <w:rsid w:val="009730AC"/>
    <w:rsid w:val="00973A75"/>
    <w:rsid w:val="00981F2E"/>
    <w:rsid w:val="00983CAE"/>
    <w:rsid w:val="00985492"/>
    <w:rsid w:val="00993CD8"/>
    <w:rsid w:val="009A002C"/>
    <w:rsid w:val="009A0C75"/>
    <w:rsid w:val="009A1D02"/>
    <w:rsid w:val="009A3F82"/>
    <w:rsid w:val="009B287B"/>
    <w:rsid w:val="009B4C7D"/>
    <w:rsid w:val="009B7203"/>
    <w:rsid w:val="009C6D7B"/>
    <w:rsid w:val="009D0619"/>
    <w:rsid w:val="009D17AA"/>
    <w:rsid w:val="009D5314"/>
    <w:rsid w:val="009E22E7"/>
    <w:rsid w:val="009E249F"/>
    <w:rsid w:val="009E4B7E"/>
    <w:rsid w:val="009F1CE6"/>
    <w:rsid w:val="009F59C3"/>
    <w:rsid w:val="00A00B93"/>
    <w:rsid w:val="00A00C75"/>
    <w:rsid w:val="00A013B7"/>
    <w:rsid w:val="00A01D46"/>
    <w:rsid w:val="00A03A0F"/>
    <w:rsid w:val="00A03FD5"/>
    <w:rsid w:val="00A116FF"/>
    <w:rsid w:val="00A11C0E"/>
    <w:rsid w:val="00A219B9"/>
    <w:rsid w:val="00A27D6D"/>
    <w:rsid w:val="00A35AD1"/>
    <w:rsid w:val="00A367CA"/>
    <w:rsid w:val="00A37607"/>
    <w:rsid w:val="00A530A8"/>
    <w:rsid w:val="00A61C5F"/>
    <w:rsid w:val="00A73480"/>
    <w:rsid w:val="00A76311"/>
    <w:rsid w:val="00A90890"/>
    <w:rsid w:val="00A959DA"/>
    <w:rsid w:val="00A97BCF"/>
    <w:rsid w:val="00AA04DA"/>
    <w:rsid w:val="00AA1C32"/>
    <w:rsid w:val="00AB2681"/>
    <w:rsid w:val="00AB30A6"/>
    <w:rsid w:val="00AB7CE0"/>
    <w:rsid w:val="00AC2FD3"/>
    <w:rsid w:val="00AC576D"/>
    <w:rsid w:val="00AC7659"/>
    <w:rsid w:val="00AD0CDA"/>
    <w:rsid w:val="00AD643A"/>
    <w:rsid w:val="00AD6FB0"/>
    <w:rsid w:val="00AE22D7"/>
    <w:rsid w:val="00AF0136"/>
    <w:rsid w:val="00AF14B3"/>
    <w:rsid w:val="00AF5C25"/>
    <w:rsid w:val="00AF6986"/>
    <w:rsid w:val="00B00BC6"/>
    <w:rsid w:val="00B011E7"/>
    <w:rsid w:val="00B01F94"/>
    <w:rsid w:val="00B12C0E"/>
    <w:rsid w:val="00B14070"/>
    <w:rsid w:val="00B14647"/>
    <w:rsid w:val="00B14648"/>
    <w:rsid w:val="00B16A2E"/>
    <w:rsid w:val="00B22089"/>
    <w:rsid w:val="00B2551B"/>
    <w:rsid w:val="00B27E3B"/>
    <w:rsid w:val="00B334A8"/>
    <w:rsid w:val="00B337CF"/>
    <w:rsid w:val="00B3525D"/>
    <w:rsid w:val="00B369DA"/>
    <w:rsid w:val="00B40106"/>
    <w:rsid w:val="00B440FA"/>
    <w:rsid w:val="00B4633E"/>
    <w:rsid w:val="00B47A4C"/>
    <w:rsid w:val="00B5255F"/>
    <w:rsid w:val="00B5462A"/>
    <w:rsid w:val="00B56770"/>
    <w:rsid w:val="00B623A8"/>
    <w:rsid w:val="00B62D47"/>
    <w:rsid w:val="00B65630"/>
    <w:rsid w:val="00B67425"/>
    <w:rsid w:val="00B700B0"/>
    <w:rsid w:val="00B73C71"/>
    <w:rsid w:val="00B75127"/>
    <w:rsid w:val="00B754C4"/>
    <w:rsid w:val="00B81853"/>
    <w:rsid w:val="00B82B24"/>
    <w:rsid w:val="00B928A2"/>
    <w:rsid w:val="00B928A9"/>
    <w:rsid w:val="00BA161B"/>
    <w:rsid w:val="00BA2BDB"/>
    <w:rsid w:val="00BB43F2"/>
    <w:rsid w:val="00BC3A7F"/>
    <w:rsid w:val="00BC692B"/>
    <w:rsid w:val="00BD0165"/>
    <w:rsid w:val="00BD6A01"/>
    <w:rsid w:val="00BD7B50"/>
    <w:rsid w:val="00BE0CAA"/>
    <w:rsid w:val="00BF1566"/>
    <w:rsid w:val="00BF78DA"/>
    <w:rsid w:val="00C031C5"/>
    <w:rsid w:val="00C05AE4"/>
    <w:rsid w:val="00C06E8E"/>
    <w:rsid w:val="00C10C37"/>
    <w:rsid w:val="00C166BB"/>
    <w:rsid w:val="00C237DF"/>
    <w:rsid w:val="00C27C38"/>
    <w:rsid w:val="00C3139F"/>
    <w:rsid w:val="00C3377C"/>
    <w:rsid w:val="00C40A2A"/>
    <w:rsid w:val="00C40F21"/>
    <w:rsid w:val="00C531B6"/>
    <w:rsid w:val="00C569A3"/>
    <w:rsid w:val="00C60885"/>
    <w:rsid w:val="00C61DC6"/>
    <w:rsid w:val="00C628E1"/>
    <w:rsid w:val="00C63C8D"/>
    <w:rsid w:val="00C66702"/>
    <w:rsid w:val="00C81BFA"/>
    <w:rsid w:val="00C83AB2"/>
    <w:rsid w:val="00C83D51"/>
    <w:rsid w:val="00C856FE"/>
    <w:rsid w:val="00C92DF0"/>
    <w:rsid w:val="00C94DC4"/>
    <w:rsid w:val="00C964DC"/>
    <w:rsid w:val="00C97091"/>
    <w:rsid w:val="00CA5948"/>
    <w:rsid w:val="00CB1B90"/>
    <w:rsid w:val="00CB339E"/>
    <w:rsid w:val="00CC408A"/>
    <w:rsid w:val="00CC63F5"/>
    <w:rsid w:val="00CC7AEB"/>
    <w:rsid w:val="00CD0308"/>
    <w:rsid w:val="00CD4F3C"/>
    <w:rsid w:val="00CE0D0E"/>
    <w:rsid w:val="00CE0E8A"/>
    <w:rsid w:val="00CE103A"/>
    <w:rsid w:val="00CE7035"/>
    <w:rsid w:val="00CE71A6"/>
    <w:rsid w:val="00CE7273"/>
    <w:rsid w:val="00CE7956"/>
    <w:rsid w:val="00CF155C"/>
    <w:rsid w:val="00CF2709"/>
    <w:rsid w:val="00D06260"/>
    <w:rsid w:val="00D0748D"/>
    <w:rsid w:val="00D14064"/>
    <w:rsid w:val="00D158D9"/>
    <w:rsid w:val="00D16616"/>
    <w:rsid w:val="00D225DE"/>
    <w:rsid w:val="00D26261"/>
    <w:rsid w:val="00D27E6A"/>
    <w:rsid w:val="00D332D6"/>
    <w:rsid w:val="00D33723"/>
    <w:rsid w:val="00D34777"/>
    <w:rsid w:val="00D35756"/>
    <w:rsid w:val="00D369D5"/>
    <w:rsid w:val="00D36F18"/>
    <w:rsid w:val="00D40F42"/>
    <w:rsid w:val="00D44506"/>
    <w:rsid w:val="00D446F3"/>
    <w:rsid w:val="00D45D7A"/>
    <w:rsid w:val="00D546A5"/>
    <w:rsid w:val="00D57925"/>
    <w:rsid w:val="00D67157"/>
    <w:rsid w:val="00D77142"/>
    <w:rsid w:val="00D81226"/>
    <w:rsid w:val="00D877EB"/>
    <w:rsid w:val="00D90064"/>
    <w:rsid w:val="00D909E5"/>
    <w:rsid w:val="00D9226E"/>
    <w:rsid w:val="00D97ECF"/>
    <w:rsid w:val="00DA02DC"/>
    <w:rsid w:val="00DA0666"/>
    <w:rsid w:val="00DA36E6"/>
    <w:rsid w:val="00DA4272"/>
    <w:rsid w:val="00DB056E"/>
    <w:rsid w:val="00DB1319"/>
    <w:rsid w:val="00DB63F9"/>
    <w:rsid w:val="00DC40A3"/>
    <w:rsid w:val="00DD04C2"/>
    <w:rsid w:val="00DD18AF"/>
    <w:rsid w:val="00DD3EE7"/>
    <w:rsid w:val="00DD72FE"/>
    <w:rsid w:val="00DE1DC5"/>
    <w:rsid w:val="00DE2CF1"/>
    <w:rsid w:val="00DE38EF"/>
    <w:rsid w:val="00DE67C4"/>
    <w:rsid w:val="00DF2B10"/>
    <w:rsid w:val="00DF4D9D"/>
    <w:rsid w:val="00DF6782"/>
    <w:rsid w:val="00DF7054"/>
    <w:rsid w:val="00E0100F"/>
    <w:rsid w:val="00E01354"/>
    <w:rsid w:val="00E117E1"/>
    <w:rsid w:val="00E1384A"/>
    <w:rsid w:val="00E13B5A"/>
    <w:rsid w:val="00E21D98"/>
    <w:rsid w:val="00E27982"/>
    <w:rsid w:val="00E27C78"/>
    <w:rsid w:val="00E30D8D"/>
    <w:rsid w:val="00E32863"/>
    <w:rsid w:val="00E32AB3"/>
    <w:rsid w:val="00E339A9"/>
    <w:rsid w:val="00E3611B"/>
    <w:rsid w:val="00E3674D"/>
    <w:rsid w:val="00E46EEF"/>
    <w:rsid w:val="00E55C48"/>
    <w:rsid w:val="00E57569"/>
    <w:rsid w:val="00E57DC0"/>
    <w:rsid w:val="00E61515"/>
    <w:rsid w:val="00E65AED"/>
    <w:rsid w:val="00E66FBE"/>
    <w:rsid w:val="00E820A3"/>
    <w:rsid w:val="00E820B5"/>
    <w:rsid w:val="00E84072"/>
    <w:rsid w:val="00E873AC"/>
    <w:rsid w:val="00E90F39"/>
    <w:rsid w:val="00E917DD"/>
    <w:rsid w:val="00E921D8"/>
    <w:rsid w:val="00E9253F"/>
    <w:rsid w:val="00E959BF"/>
    <w:rsid w:val="00EA0BAC"/>
    <w:rsid w:val="00EA5256"/>
    <w:rsid w:val="00EA62E2"/>
    <w:rsid w:val="00EB702B"/>
    <w:rsid w:val="00EC2AA7"/>
    <w:rsid w:val="00EC723A"/>
    <w:rsid w:val="00EC7BAC"/>
    <w:rsid w:val="00ED0F47"/>
    <w:rsid w:val="00ED2155"/>
    <w:rsid w:val="00ED3B47"/>
    <w:rsid w:val="00ED6FDF"/>
    <w:rsid w:val="00ED7805"/>
    <w:rsid w:val="00EE01BA"/>
    <w:rsid w:val="00EE1207"/>
    <w:rsid w:val="00EE1CC1"/>
    <w:rsid w:val="00EE444C"/>
    <w:rsid w:val="00EE58DD"/>
    <w:rsid w:val="00EE61A4"/>
    <w:rsid w:val="00EE68CD"/>
    <w:rsid w:val="00EF0ADF"/>
    <w:rsid w:val="00EF4F50"/>
    <w:rsid w:val="00EF71B3"/>
    <w:rsid w:val="00EF770D"/>
    <w:rsid w:val="00F02300"/>
    <w:rsid w:val="00F059FD"/>
    <w:rsid w:val="00F0646B"/>
    <w:rsid w:val="00F0679C"/>
    <w:rsid w:val="00F06C32"/>
    <w:rsid w:val="00F10FBE"/>
    <w:rsid w:val="00F14168"/>
    <w:rsid w:val="00F161CB"/>
    <w:rsid w:val="00F20507"/>
    <w:rsid w:val="00F2244F"/>
    <w:rsid w:val="00F26579"/>
    <w:rsid w:val="00F307CB"/>
    <w:rsid w:val="00F30F11"/>
    <w:rsid w:val="00F322F2"/>
    <w:rsid w:val="00F40B41"/>
    <w:rsid w:val="00F624BE"/>
    <w:rsid w:val="00F63E53"/>
    <w:rsid w:val="00F64022"/>
    <w:rsid w:val="00F73377"/>
    <w:rsid w:val="00F7622E"/>
    <w:rsid w:val="00F779B1"/>
    <w:rsid w:val="00F8282B"/>
    <w:rsid w:val="00F828CB"/>
    <w:rsid w:val="00F82CBC"/>
    <w:rsid w:val="00F937A3"/>
    <w:rsid w:val="00F9597C"/>
    <w:rsid w:val="00F970C3"/>
    <w:rsid w:val="00F97E0C"/>
    <w:rsid w:val="00FB11A9"/>
    <w:rsid w:val="00FC3D0C"/>
    <w:rsid w:val="00FC4C19"/>
    <w:rsid w:val="00FC6087"/>
    <w:rsid w:val="00FC744A"/>
    <w:rsid w:val="00FD3E22"/>
    <w:rsid w:val="00FD6B5F"/>
    <w:rsid w:val="00FE1A5C"/>
    <w:rsid w:val="00FE5198"/>
    <w:rsid w:val="00FF0352"/>
    <w:rsid w:val="00FF2B0D"/>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hapeDefaults>
    <o:shapedefaults v:ext="edit" spidmax="2054">
      <o:colormru v:ext="edit" colors="#e8e8e8"/>
    </o:shapedefaults>
    <o:shapelayout v:ext="edit">
      <o:idmap v:ext="edit" data="1"/>
    </o:shapelayout>
  </w:shapeDefaults>
  <w:decimalSymbol w:val="."/>
  <w:listSeparator w:val=","/>
  <w15:docId w15:val="{87E93C6B-2601-48A5-8933-7AC29A76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88F"/>
    <w:rPr>
      <w:sz w:val="24"/>
      <w:szCs w:val="24"/>
    </w:rPr>
  </w:style>
  <w:style w:type="paragraph" w:styleId="Heading1">
    <w:name w:val="heading 1"/>
    <w:basedOn w:val="Normal"/>
    <w:next w:val="Normal"/>
    <w:qFormat/>
    <w:pPr>
      <w:keepNext/>
      <w:jc w:val="both"/>
      <w:outlineLvl w:val="0"/>
    </w:pPr>
    <w:rPr>
      <w:rFonts w:ascii="Franklin Gothic Book" w:hAnsi="Franklin Gothic 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rFonts w:ascii="Galliard" w:eastAsia="Times" w:hAnsi="Galliard"/>
      <w:sz w:val="22"/>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Franklin Gothic Book" w:hAnsi="Franklin Gothic Book"/>
      <w:sz w:val="22"/>
    </w:rPr>
  </w:style>
  <w:style w:type="paragraph" w:styleId="BodyText2">
    <w:name w:val="Body Text 2"/>
    <w:basedOn w:val="Normal"/>
    <w:pPr>
      <w:jc w:val="both"/>
    </w:pPr>
    <w:rPr>
      <w:rFonts w:ascii="Franklin Gothic Book" w:hAnsi="Franklin Gothic Book"/>
      <w:i/>
      <w:iCs/>
      <w:sz w:val="18"/>
      <w:szCs w:val="22"/>
    </w:rPr>
  </w:style>
  <w:style w:type="paragraph" w:styleId="FootnoteText">
    <w:name w:val="footnote text"/>
    <w:basedOn w:val="Normal"/>
    <w:semiHidden/>
    <w:rsid w:val="00CE103A"/>
    <w:rPr>
      <w:sz w:val="20"/>
      <w:szCs w:val="20"/>
    </w:rPr>
  </w:style>
  <w:style w:type="character" w:styleId="FootnoteReference">
    <w:name w:val="footnote reference"/>
    <w:basedOn w:val="DefaultParagraphFont"/>
    <w:semiHidden/>
    <w:rsid w:val="00CE103A"/>
    <w:rPr>
      <w:vertAlign w:val="superscript"/>
    </w:rPr>
  </w:style>
  <w:style w:type="table" w:styleId="TableGrid">
    <w:name w:val="Table Grid"/>
    <w:basedOn w:val="TableNormal"/>
    <w:rsid w:val="00DF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87B"/>
    <w:pPr>
      <w:spacing w:after="200" w:line="276" w:lineRule="auto"/>
      <w:ind w:left="720"/>
      <w:contextualSpacing/>
    </w:pPr>
    <w:rPr>
      <w:rFonts w:eastAsia="Calibri"/>
    </w:rPr>
  </w:style>
  <w:style w:type="character" w:customStyle="1" w:styleId="FooterChar">
    <w:name w:val="Footer Char"/>
    <w:basedOn w:val="DefaultParagraphFont"/>
    <w:link w:val="Footer"/>
    <w:uiPriority w:val="99"/>
    <w:rsid w:val="00513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813">
      <w:bodyDiv w:val="1"/>
      <w:marLeft w:val="0"/>
      <w:marRight w:val="0"/>
      <w:marTop w:val="0"/>
      <w:marBottom w:val="0"/>
      <w:divBdr>
        <w:top w:val="none" w:sz="0" w:space="0" w:color="auto"/>
        <w:left w:val="none" w:sz="0" w:space="0" w:color="auto"/>
        <w:bottom w:val="none" w:sz="0" w:space="0" w:color="auto"/>
        <w:right w:val="none" w:sz="0" w:space="0" w:color="auto"/>
      </w:divBdr>
      <w:divsChild>
        <w:div w:id="1536581822">
          <w:marLeft w:val="0"/>
          <w:marRight w:val="0"/>
          <w:marTop w:val="0"/>
          <w:marBottom w:val="0"/>
          <w:divBdr>
            <w:top w:val="none" w:sz="0" w:space="0" w:color="auto"/>
            <w:left w:val="none" w:sz="0" w:space="0" w:color="auto"/>
            <w:bottom w:val="none" w:sz="0" w:space="0" w:color="auto"/>
            <w:right w:val="none" w:sz="0" w:space="0" w:color="auto"/>
          </w:divBdr>
          <w:divsChild>
            <w:div w:id="18053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027">
      <w:bodyDiv w:val="1"/>
      <w:marLeft w:val="0"/>
      <w:marRight w:val="0"/>
      <w:marTop w:val="0"/>
      <w:marBottom w:val="0"/>
      <w:divBdr>
        <w:top w:val="none" w:sz="0" w:space="0" w:color="auto"/>
        <w:left w:val="none" w:sz="0" w:space="0" w:color="auto"/>
        <w:bottom w:val="none" w:sz="0" w:space="0" w:color="auto"/>
        <w:right w:val="none" w:sz="0" w:space="0" w:color="auto"/>
      </w:divBdr>
    </w:div>
    <w:div w:id="499975203">
      <w:bodyDiv w:val="1"/>
      <w:marLeft w:val="0"/>
      <w:marRight w:val="0"/>
      <w:marTop w:val="0"/>
      <w:marBottom w:val="0"/>
      <w:divBdr>
        <w:top w:val="none" w:sz="0" w:space="0" w:color="auto"/>
        <w:left w:val="none" w:sz="0" w:space="0" w:color="auto"/>
        <w:bottom w:val="none" w:sz="0" w:space="0" w:color="auto"/>
        <w:right w:val="none" w:sz="0" w:space="0" w:color="auto"/>
      </w:divBdr>
    </w:div>
    <w:div w:id="1796824195">
      <w:bodyDiv w:val="1"/>
      <w:marLeft w:val="0"/>
      <w:marRight w:val="0"/>
      <w:marTop w:val="0"/>
      <w:marBottom w:val="0"/>
      <w:divBdr>
        <w:top w:val="none" w:sz="0" w:space="0" w:color="auto"/>
        <w:left w:val="none" w:sz="0" w:space="0" w:color="auto"/>
        <w:bottom w:val="none" w:sz="0" w:space="0" w:color="auto"/>
        <w:right w:val="none" w:sz="0" w:space="0" w:color="auto"/>
      </w:divBdr>
    </w:div>
    <w:div w:id="2098860313">
      <w:bodyDiv w:val="1"/>
      <w:marLeft w:val="0"/>
      <w:marRight w:val="0"/>
      <w:marTop w:val="0"/>
      <w:marBottom w:val="0"/>
      <w:divBdr>
        <w:top w:val="none" w:sz="0" w:space="0" w:color="auto"/>
        <w:left w:val="none" w:sz="0" w:space="0" w:color="auto"/>
        <w:bottom w:val="none" w:sz="0" w:space="0" w:color="auto"/>
        <w:right w:val="none" w:sz="0" w:space="0" w:color="auto"/>
      </w:divBdr>
      <w:divsChild>
        <w:div w:id="1548953232">
          <w:marLeft w:val="0"/>
          <w:marRight w:val="0"/>
          <w:marTop w:val="0"/>
          <w:marBottom w:val="0"/>
          <w:divBdr>
            <w:top w:val="none" w:sz="0" w:space="0" w:color="auto"/>
            <w:left w:val="none" w:sz="0" w:space="0" w:color="auto"/>
            <w:bottom w:val="none" w:sz="0" w:space="0" w:color="auto"/>
            <w:right w:val="none" w:sz="0" w:space="0" w:color="auto"/>
          </w:divBdr>
          <w:divsChild>
            <w:div w:id="6876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C8AE-BAA7-4129-A8FD-40B64B73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Introduction and Approach</vt:lpstr>
    </vt:vector>
  </TitlesOfParts>
  <Company>Prager, McCarthy &amp; Sealy, LLC</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Approach</dc:title>
  <dc:creator>Joe Beare</dc:creator>
  <cp:lastModifiedBy>Helynna Joy Kerr</cp:lastModifiedBy>
  <cp:revision>2</cp:revision>
  <cp:lastPrinted>2010-11-19T16:52:00Z</cp:lastPrinted>
  <dcterms:created xsi:type="dcterms:W3CDTF">2017-01-26T15:37:00Z</dcterms:created>
  <dcterms:modified xsi:type="dcterms:W3CDTF">2017-01-26T15:37:00Z</dcterms:modified>
</cp:coreProperties>
</file>