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37C9" w14:textId="01F4E68D" w:rsidR="00D60807" w:rsidRDefault="00D60807" w:rsidP="00A8398A">
      <w:pPr>
        <w:pStyle w:val="Title"/>
        <w:jc w:val="center"/>
        <w:rPr>
          <w:rFonts w:cs="Calibri Light"/>
          <w:b/>
          <w:color w:val="auto"/>
          <w:szCs w:val="32"/>
        </w:rPr>
      </w:pPr>
      <w:r>
        <w:rPr>
          <w:rFonts w:cs="Calibri Light"/>
          <w:b/>
          <w:color w:val="auto"/>
          <w:szCs w:val="32"/>
        </w:rPr>
        <w:t>OFFICE OF THE UNIVERSITY CONTROLLER</w:t>
      </w:r>
    </w:p>
    <w:p w14:paraId="63F08B56" w14:textId="5C9086C1" w:rsidR="00EC71F5" w:rsidRPr="006723DF" w:rsidRDefault="00EC71F5" w:rsidP="00A8398A">
      <w:pPr>
        <w:pStyle w:val="Title"/>
        <w:jc w:val="center"/>
        <w:rPr>
          <w:rFonts w:cs="Calibri Light"/>
          <w:b/>
          <w:color w:val="auto"/>
          <w:szCs w:val="32"/>
        </w:rPr>
      </w:pPr>
      <w:r w:rsidRPr="006723DF">
        <w:rPr>
          <w:rFonts w:cs="Calibri Light"/>
          <w:b/>
          <w:color w:val="auto"/>
          <w:szCs w:val="32"/>
        </w:rPr>
        <w:t xml:space="preserve"> standard </w:t>
      </w:r>
      <w:r w:rsidR="006723DF" w:rsidRPr="006723DF">
        <w:rPr>
          <w:rFonts w:cs="Calibri Light"/>
          <w:b/>
          <w:color w:val="auto"/>
          <w:szCs w:val="32"/>
        </w:rPr>
        <w:t xml:space="preserve">operating </w:t>
      </w:r>
      <w:r w:rsidRPr="006723DF">
        <w:rPr>
          <w:rFonts w:cs="Calibri Light"/>
          <w:b/>
          <w:color w:val="auto"/>
          <w:szCs w:val="32"/>
        </w:rPr>
        <w:t>procedures</w:t>
      </w:r>
    </w:p>
    <w:p w14:paraId="1E1E3F01" w14:textId="7690E5B7" w:rsidR="00517F51" w:rsidRPr="006723DF" w:rsidRDefault="002C64BD" w:rsidP="00A8398A">
      <w:pPr>
        <w:pStyle w:val="Title"/>
        <w:jc w:val="center"/>
        <w:rPr>
          <w:rFonts w:cs="Calibri Light"/>
          <w:b/>
          <w:color w:val="2E74B5" w:themeColor="accent1" w:themeShade="BF"/>
          <w:sz w:val="28"/>
          <w:szCs w:val="28"/>
        </w:rPr>
      </w:pPr>
      <w:r w:rsidRPr="006723DF">
        <w:rPr>
          <w:rFonts w:cs="Calibri Light"/>
          <w:b/>
          <w:color w:val="2E74B5" w:themeColor="accent1" w:themeShade="BF"/>
          <w:sz w:val="28"/>
          <w:szCs w:val="28"/>
        </w:rPr>
        <w:t xml:space="preserve">accounting for </w:t>
      </w:r>
      <w:r w:rsidR="009748C5">
        <w:rPr>
          <w:rFonts w:cs="Calibri Light"/>
          <w:b/>
          <w:color w:val="2E74B5" w:themeColor="accent1" w:themeShade="BF"/>
          <w:sz w:val="28"/>
          <w:szCs w:val="28"/>
        </w:rPr>
        <w:t>SERVICE CENTERS &amp; CORE FACILITIES</w:t>
      </w:r>
    </w:p>
    <w:sdt>
      <w:sdtPr>
        <w:rPr>
          <w:rFonts w:ascii="Calibri Light" w:hAnsi="Calibri Light" w:cs="Calibri Light"/>
          <w:color w:val="595959" w:themeColor="text1" w:themeTint="A6"/>
        </w:rPr>
        <w:id w:val="216403978"/>
        <w:placeholder>
          <w:docPart w:val="764299F0E46E4B52B69BFF61682CC224"/>
        </w:placeholder>
        <w:date w:fullDate="2023-07-01T00:00:00Z">
          <w:dateFormat w:val="MMMM d, yyyy"/>
          <w:lid w:val="en-US"/>
          <w:storeMappedDataAs w:val="dateTime"/>
          <w:calendar w:val="gregorian"/>
        </w:date>
      </w:sdtPr>
      <w:sdtEndPr/>
      <w:sdtContent>
        <w:p w14:paraId="0963DE43" w14:textId="5940B928" w:rsidR="00517F51" w:rsidRPr="00B454E2" w:rsidRDefault="001E5A42" w:rsidP="00A8398A">
          <w:pPr>
            <w:pStyle w:val="Subtitle"/>
            <w:rPr>
              <w:rFonts w:ascii="Calibri Light" w:hAnsi="Calibri Light" w:cs="Calibri Light"/>
              <w:color w:val="595959" w:themeColor="text1" w:themeTint="A6"/>
            </w:rPr>
          </w:pPr>
          <w:r>
            <w:rPr>
              <w:rFonts w:ascii="Calibri Light" w:hAnsi="Calibri Light" w:cs="Calibri Light"/>
              <w:color w:val="595959" w:themeColor="text1" w:themeTint="A6"/>
            </w:rPr>
            <w:t>July 1, 202</w:t>
          </w:r>
          <w:r w:rsidR="00040BA0">
            <w:rPr>
              <w:rFonts w:ascii="Calibri Light" w:hAnsi="Calibri Light" w:cs="Calibri Light"/>
              <w:color w:val="595959" w:themeColor="text1" w:themeTint="A6"/>
            </w:rPr>
            <w:t>3</w:t>
          </w:r>
        </w:p>
      </w:sdtContent>
    </w:sdt>
    <w:p w14:paraId="57525C19" w14:textId="2384076B" w:rsidR="00517F51" w:rsidRDefault="00020D87" w:rsidP="00014B0B">
      <w:pPr>
        <w:pStyle w:val="Heading1"/>
      </w:pPr>
      <w:bookmarkStart w:id="0" w:name="_Toc528919733"/>
      <w:bookmarkStart w:id="1" w:name="_Toc529879477"/>
      <w:bookmarkStart w:id="2" w:name="_Toc530386258"/>
      <w:r>
        <w:t xml:space="preserve">Table of </w:t>
      </w:r>
      <w:r w:rsidRPr="00014B0B">
        <w:t>Contents</w:t>
      </w:r>
      <w:bookmarkEnd w:id="0"/>
      <w:bookmarkEnd w:id="1"/>
      <w:bookmarkEnd w:id="2"/>
      <w:r>
        <w:t xml:space="preserve"> </w:t>
      </w:r>
    </w:p>
    <w:p w14:paraId="61889AF8" w14:textId="55B29CB0" w:rsidR="007C2562" w:rsidRDefault="00017389" w:rsidP="00A3766B">
      <w:pPr>
        <w:pStyle w:val="TOC2"/>
        <w:rPr>
          <w:rFonts w:asciiTheme="minorHAnsi" w:eastAsiaTheme="minorEastAsia" w:hAnsiTheme="minorHAnsi"/>
          <w:sz w:val="22"/>
          <w:szCs w:val="22"/>
          <w:lang w:eastAsia="en-US"/>
        </w:rPr>
      </w:pPr>
      <w:r>
        <w:rPr>
          <w:color w:val="404040" w:themeColor="text1" w:themeTint="BF"/>
        </w:rPr>
        <w:fldChar w:fldCharType="begin"/>
      </w:r>
      <w:r>
        <w:instrText xml:space="preserve"> TOC \o "2-2" \n \h \z \u </w:instrText>
      </w:r>
      <w:r>
        <w:rPr>
          <w:color w:val="404040" w:themeColor="text1" w:themeTint="BF"/>
        </w:rPr>
        <w:fldChar w:fldCharType="separate"/>
      </w:r>
      <w:hyperlink w:anchor="_Toc5116496" w:history="1">
        <w:r w:rsidR="007C2562" w:rsidRPr="00093305">
          <w:rPr>
            <w:rStyle w:val="Hyperlink"/>
          </w:rPr>
          <w:t>1.</w:t>
        </w:r>
        <w:r w:rsidR="007C2562">
          <w:rPr>
            <w:rFonts w:asciiTheme="minorHAnsi" w:eastAsiaTheme="minorEastAsia" w:hAnsiTheme="minorHAnsi"/>
            <w:sz w:val="22"/>
            <w:szCs w:val="22"/>
            <w:lang w:eastAsia="en-US"/>
          </w:rPr>
          <w:tab/>
        </w:r>
        <w:r w:rsidR="009748C5" w:rsidRPr="009748C5">
          <w:rPr>
            <w:rStyle w:val="Hyperlink"/>
          </w:rPr>
          <w:t>Types of Service Center/Core Facility Internal Charging Units</w:t>
        </w:r>
      </w:hyperlink>
    </w:p>
    <w:p w14:paraId="50AE0524" w14:textId="0535BE68" w:rsidR="007C2562" w:rsidRDefault="00B56FE1" w:rsidP="00A3766B">
      <w:pPr>
        <w:pStyle w:val="TOC2"/>
        <w:rPr>
          <w:rFonts w:asciiTheme="minorHAnsi" w:eastAsiaTheme="minorEastAsia" w:hAnsiTheme="minorHAnsi"/>
          <w:sz w:val="22"/>
          <w:szCs w:val="22"/>
          <w:lang w:eastAsia="en-US"/>
        </w:rPr>
      </w:pPr>
      <w:hyperlink w:anchor="_Toc5116497" w:history="1">
        <w:r w:rsidR="007C2562" w:rsidRPr="00093305">
          <w:rPr>
            <w:rStyle w:val="Hyperlink"/>
          </w:rPr>
          <w:t>2.</w:t>
        </w:r>
        <w:r w:rsidR="007C2562">
          <w:rPr>
            <w:rFonts w:asciiTheme="minorHAnsi" w:eastAsiaTheme="minorEastAsia" w:hAnsiTheme="minorHAnsi"/>
            <w:sz w:val="22"/>
            <w:szCs w:val="22"/>
            <w:lang w:eastAsia="en-US"/>
          </w:rPr>
          <w:tab/>
        </w:r>
        <w:r w:rsidR="009748C5" w:rsidRPr="009748C5">
          <w:rPr>
            <w:rStyle w:val="Hyperlink"/>
          </w:rPr>
          <w:t xml:space="preserve">Purpose of Service Center/Core Facility Charging </w:t>
        </w:r>
      </w:hyperlink>
    </w:p>
    <w:p w14:paraId="3F08293E" w14:textId="6ACE67FE" w:rsidR="007C2562" w:rsidRDefault="00B56FE1" w:rsidP="00A3766B">
      <w:pPr>
        <w:pStyle w:val="TOC2"/>
        <w:rPr>
          <w:rFonts w:asciiTheme="minorHAnsi" w:eastAsiaTheme="minorEastAsia" w:hAnsiTheme="minorHAnsi"/>
          <w:sz w:val="22"/>
          <w:szCs w:val="22"/>
          <w:lang w:eastAsia="en-US"/>
        </w:rPr>
      </w:pPr>
      <w:hyperlink w:anchor="_Toc5116498" w:history="1">
        <w:r w:rsidR="007C2562" w:rsidRPr="00093305">
          <w:rPr>
            <w:rStyle w:val="Hyperlink"/>
          </w:rPr>
          <w:t>3.</w:t>
        </w:r>
        <w:r w:rsidR="007C2562">
          <w:rPr>
            <w:rFonts w:asciiTheme="minorHAnsi" w:eastAsiaTheme="minorEastAsia" w:hAnsiTheme="minorHAnsi"/>
            <w:sz w:val="22"/>
            <w:szCs w:val="22"/>
            <w:lang w:eastAsia="en-US"/>
          </w:rPr>
          <w:tab/>
        </w:r>
        <w:r w:rsidR="00161814" w:rsidRPr="00161814">
          <w:rPr>
            <w:rStyle w:val="Hyperlink"/>
          </w:rPr>
          <w:t xml:space="preserve">Characteristics of Service Centers/Core Facilities </w:t>
        </w:r>
      </w:hyperlink>
    </w:p>
    <w:p w14:paraId="37231055" w14:textId="77777777" w:rsidR="007C2562" w:rsidRDefault="00B56FE1" w:rsidP="00A3766B">
      <w:pPr>
        <w:pStyle w:val="TOC2"/>
        <w:rPr>
          <w:rFonts w:asciiTheme="minorHAnsi" w:eastAsiaTheme="minorEastAsia" w:hAnsiTheme="minorHAnsi"/>
          <w:sz w:val="22"/>
          <w:szCs w:val="22"/>
          <w:lang w:eastAsia="en-US"/>
        </w:rPr>
      </w:pPr>
      <w:hyperlink w:anchor="_Toc5116499" w:history="1">
        <w:r w:rsidR="007C2562" w:rsidRPr="00093305">
          <w:rPr>
            <w:rStyle w:val="Hyperlink"/>
          </w:rPr>
          <w:t>4.</w:t>
        </w:r>
        <w:r w:rsidR="007C2562">
          <w:rPr>
            <w:rFonts w:asciiTheme="minorHAnsi" w:eastAsiaTheme="minorEastAsia" w:hAnsiTheme="minorHAnsi"/>
            <w:sz w:val="22"/>
            <w:szCs w:val="22"/>
            <w:lang w:eastAsia="en-US"/>
          </w:rPr>
          <w:tab/>
        </w:r>
        <w:r w:rsidR="007C2562" w:rsidRPr="00093305">
          <w:rPr>
            <w:rStyle w:val="Hyperlink"/>
          </w:rPr>
          <w:t>Types of Cross-Unit Internal Expense Transactions</w:t>
        </w:r>
      </w:hyperlink>
    </w:p>
    <w:p w14:paraId="57365A6E" w14:textId="77777777" w:rsidR="007C2562" w:rsidRDefault="00B56FE1" w:rsidP="00A3766B">
      <w:pPr>
        <w:pStyle w:val="TOC2"/>
        <w:rPr>
          <w:rFonts w:asciiTheme="minorHAnsi" w:eastAsiaTheme="minorEastAsia" w:hAnsiTheme="minorHAnsi"/>
          <w:sz w:val="22"/>
          <w:szCs w:val="22"/>
          <w:lang w:eastAsia="en-US"/>
        </w:rPr>
      </w:pPr>
      <w:hyperlink w:anchor="_Toc5116500" w:history="1">
        <w:r w:rsidR="007C2562" w:rsidRPr="00093305">
          <w:rPr>
            <w:rStyle w:val="Hyperlink"/>
          </w:rPr>
          <w:t>5.</w:t>
        </w:r>
        <w:r w:rsidR="007C2562">
          <w:rPr>
            <w:rFonts w:asciiTheme="minorHAnsi" w:eastAsiaTheme="minorEastAsia" w:hAnsiTheme="minorHAnsi"/>
            <w:sz w:val="22"/>
            <w:szCs w:val="22"/>
            <w:lang w:eastAsia="en-US"/>
          </w:rPr>
          <w:tab/>
        </w:r>
        <w:r w:rsidR="007C2562" w:rsidRPr="00093305">
          <w:rPr>
            <w:rStyle w:val="Hyperlink"/>
          </w:rPr>
          <w:t>Rate Calculations</w:t>
        </w:r>
      </w:hyperlink>
    </w:p>
    <w:p w14:paraId="5B3807B9" w14:textId="7B446964" w:rsidR="007C2562" w:rsidRDefault="00B56FE1" w:rsidP="00A3766B">
      <w:pPr>
        <w:pStyle w:val="TOC2"/>
        <w:rPr>
          <w:rFonts w:asciiTheme="minorHAnsi" w:eastAsiaTheme="minorEastAsia" w:hAnsiTheme="minorHAnsi"/>
          <w:sz w:val="22"/>
          <w:szCs w:val="22"/>
          <w:lang w:eastAsia="en-US"/>
        </w:rPr>
      </w:pPr>
      <w:hyperlink w:anchor="_Toc5116501" w:history="1">
        <w:r w:rsidR="007C2562" w:rsidRPr="00093305">
          <w:rPr>
            <w:rStyle w:val="Hyperlink"/>
          </w:rPr>
          <w:t>6.</w:t>
        </w:r>
        <w:r w:rsidR="007C2562">
          <w:rPr>
            <w:rFonts w:asciiTheme="minorHAnsi" w:eastAsiaTheme="minorEastAsia" w:hAnsiTheme="minorHAnsi"/>
            <w:sz w:val="22"/>
            <w:szCs w:val="22"/>
            <w:lang w:eastAsia="en-US"/>
          </w:rPr>
          <w:tab/>
        </w:r>
        <w:r w:rsidR="007C2562" w:rsidRPr="00093305">
          <w:rPr>
            <w:rStyle w:val="Hyperlink"/>
          </w:rPr>
          <w:t xml:space="preserve">Recording </w:t>
        </w:r>
        <w:r w:rsidR="00BC60EB" w:rsidRPr="00BC60EB">
          <w:rPr>
            <w:rStyle w:val="Hyperlink"/>
          </w:rPr>
          <w:t>Service Centers/Core Facilities</w:t>
        </w:r>
        <w:r w:rsidR="007C2562" w:rsidRPr="00093305">
          <w:rPr>
            <w:rStyle w:val="Hyperlink"/>
          </w:rPr>
          <w:t xml:space="preserve"> Charges</w:t>
        </w:r>
      </w:hyperlink>
    </w:p>
    <w:p w14:paraId="0F8D3547" w14:textId="1E01AD07" w:rsidR="007C2562" w:rsidRDefault="00B56FE1" w:rsidP="00A3766B">
      <w:pPr>
        <w:pStyle w:val="TOC2"/>
        <w:rPr>
          <w:rFonts w:asciiTheme="minorHAnsi" w:eastAsiaTheme="minorEastAsia" w:hAnsiTheme="minorHAnsi"/>
          <w:sz w:val="22"/>
          <w:szCs w:val="22"/>
          <w:lang w:eastAsia="en-US"/>
        </w:rPr>
      </w:pPr>
      <w:hyperlink w:anchor="_Toc5116502" w:history="1">
        <w:r w:rsidR="007C2562" w:rsidRPr="00093305">
          <w:rPr>
            <w:rStyle w:val="Hyperlink"/>
          </w:rPr>
          <w:t>7.</w:t>
        </w:r>
        <w:r w:rsidR="007C2562">
          <w:rPr>
            <w:rFonts w:asciiTheme="minorHAnsi" w:eastAsiaTheme="minorEastAsia" w:hAnsiTheme="minorHAnsi"/>
            <w:sz w:val="22"/>
            <w:szCs w:val="22"/>
            <w:lang w:eastAsia="en-US"/>
          </w:rPr>
          <w:tab/>
        </w:r>
        <w:r w:rsidR="007C2562" w:rsidRPr="00093305">
          <w:rPr>
            <w:rStyle w:val="Hyperlink"/>
          </w:rPr>
          <w:t xml:space="preserve">Accounting Requirements for </w:t>
        </w:r>
        <w:r w:rsidR="00BC60EB" w:rsidRPr="00BC60EB">
          <w:rPr>
            <w:rStyle w:val="Hyperlink"/>
          </w:rPr>
          <w:t xml:space="preserve">Service Centers/Core Facilities </w:t>
        </w:r>
      </w:hyperlink>
    </w:p>
    <w:p w14:paraId="01F0EF03" w14:textId="77777777" w:rsidR="00464E9D" w:rsidRDefault="00464E9D" w:rsidP="00A3766B">
      <w:pPr>
        <w:pStyle w:val="TOC2"/>
      </w:pPr>
      <w:r w:rsidRPr="00464E9D">
        <w:t>8.</w:t>
      </w:r>
      <w:r w:rsidRPr="00464E9D">
        <w:tab/>
        <w:t>Creating a New Service Center/Core Facility &amp; Other Internal Charging Considerations</w:t>
      </w:r>
    </w:p>
    <w:p w14:paraId="07E57709" w14:textId="0A2D6DEF" w:rsidR="007C2562" w:rsidRDefault="00B56FE1" w:rsidP="00A3766B">
      <w:pPr>
        <w:pStyle w:val="TOC2"/>
        <w:rPr>
          <w:rFonts w:asciiTheme="minorHAnsi" w:eastAsiaTheme="minorEastAsia" w:hAnsiTheme="minorHAnsi"/>
          <w:sz w:val="22"/>
          <w:szCs w:val="22"/>
          <w:lang w:eastAsia="en-US"/>
        </w:rPr>
      </w:pPr>
      <w:hyperlink w:anchor="_Toc5116506" w:history="1">
        <w:r w:rsidR="00B01A93">
          <w:rPr>
            <w:rStyle w:val="Hyperlink"/>
          </w:rPr>
          <w:t>9</w:t>
        </w:r>
        <w:r w:rsidR="007C2562" w:rsidRPr="00093305">
          <w:rPr>
            <w:rStyle w:val="Hyperlink"/>
          </w:rPr>
          <w:t>.</w:t>
        </w:r>
        <w:r w:rsidR="007C2562">
          <w:rPr>
            <w:rFonts w:asciiTheme="minorHAnsi" w:eastAsiaTheme="minorEastAsia" w:hAnsiTheme="minorHAnsi"/>
            <w:sz w:val="22"/>
            <w:szCs w:val="22"/>
            <w:lang w:eastAsia="en-US"/>
          </w:rPr>
          <w:tab/>
        </w:r>
        <w:r w:rsidR="007C2562" w:rsidRPr="00093305">
          <w:rPr>
            <w:rStyle w:val="Hyperlink"/>
          </w:rPr>
          <w:t>Contact for Questions</w:t>
        </w:r>
      </w:hyperlink>
    </w:p>
    <w:p w14:paraId="33509CB5" w14:textId="2528311C" w:rsidR="00A47F0A" w:rsidRDefault="00017389" w:rsidP="00014B0B">
      <w:pPr>
        <w:pStyle w:val="Heading2"/>
      </w:pPr>
      <w:r>
        <w:fldChar w:fldCharType="end"/>
      </w:r>
      <w:bookmarkStart w:id="3" w:name="_Toc528678444"/>
      <w:bookmarkStart w:id="4" w:name="_Toc5116496"/>
      <w:r w:rsidR="00264D8B">
        <w:t xml:space="preserve">Types of </w:t>
      </w:r>
      <w:bookmarkEnd w:id="3"/>
      <w:bookmarkEnd w:id="4"/>
      <w:r w:rsidR="009748C5">
        <w:t>Service Center/Core Facility Internal Charging Units</w:t>
      </w:r>
    </w:p>
    <w:p w14:paraId="116D7EE0" w14:textId="14C69D00" w:rsidR="00923E9C" w:rsidRPr="00923E9C" w:rsidRDefault="00A86158" w:rsidP="00923E9C">
      <w:r>
        <w:t xml:space="preserve">The </w:t>
      </w:r>
      <w:r w:rsidR="007803D0">
        <w:t>University</w:t>
      </w:r>
      <w:r>
        <w:t xml:space="preserve"> categori</w:t>
      </w:r>
      <w:r w:rsidR="00DB0E36">
        <w:t>z</w:t>
      </w:r>
      <w:r>
        <w:t xml:space="preserve">es </w:t>
      </w:r>
      <w:r w:rsidR="009748C5">
        <w:t xml:space="preserve">service center &amp; core facility units </w:t>
      </w:r>
      <w:r w:rsidR="00923E9C">
        <w:t>using the following</w:t>
      </w:r>
      <w:r>
        <w:t xml:space="preserve"> descriptions</w:t>
      </w:r>
      <w:r w:rsidR="00923E9C">
        <w:t>:</w:t>
      </w:r>
    </w:p>
    <w:p w14:paraId="787E5D09" w14:textId="0B3E4C38" w:rsidR="009748C5" w:rsidRPr="009748C5" w:rsidRDefault="009748C5" w:rsidP="009748C5">
      <w:r w:rsidRPr="009748C5">
        <w:rPr>
          <w:b/>
        </w:rPr>
        <w:t xml:space="preserve">Recharge Unit </w:t>
      </w:r>
      <w:r w:rsidRPr="009748C5">
        <w:t xml:space="preserve">– A Recharge Unit is an operating unit established to provide goods and services to the </w:t>
      </w:r>
      <w:r w:rsidR="007803D0">
        <w:t>university</w:t>
      </w:r>
      <w:r w:rsidRPr="009748C5">
        <w:t xml:space="preserve"> community, including externally sponsored awards, internal departments, and (incidentally) external customers. Units of this nature are usually </w:t>
      </w:r>
      <w:proofErr w:type="gramStart"/>
      <w:r w:rsidRPr="009748C5">
        <w:t>non-academic</w:t>
      </w:r>
      <w:proofErr w:type="gramEnd"/>
      <w:r w:rsidRPr="009748C5">
        <w:t xml:space="preserve"> and their annual activity does not exceed $25,000.  Recharge Unit internal user rates will only include direct costs associated with providing the services for internal users (including sponsored awards). External user rates will include direct &amp; indirect costs.</w:t>
      </w:r>
    </w:p>
    <w:p w14:paraId="5A87E0F9" w14:textId="0B52E102" w:rsidR="009748C5" w:rsidRPr="009748C5" w:rsidRDefault="009748C5" w:rsidP="009748C5">
      <w:r w:rsidRPr="009748C5">
        <w:rPr>
          <w:b/>
        </w:rPr>
        <w:t xml:space="preserve">Service Center/Research Core Facility – </w:t>
      </w:r>
      <w:r w:rsidRPr="009748C5">
        <w:t xml:space="preserve">A Service Center is an operating unit established to provide goods and services to the </w:t>
      </w:r>
      <w:r w:rsidR="007803D0">
        <w:t>university</w:t>
      </w:r>
      <w:r w:rsidRPr="009748C5">
        <w:t xml:space="preserve"> community, including externally sponsored awards, internal departments, and (incidentally) external customers. Academic units of this nature are also sometimes referred to as “Core Facilities.” Service Center rates will only include direct costs associated with providing the services for internal users (including sponsored awards) and annual activity will exceed $25,000.  External user rates will include direct &amp; indirect costs.</w:t>
      </w:r>
    </w:p>
    <w:p w14:paraId="29CEA5CC" w14:textId="77777777" w:rsidR="009748C5" w:rsidRPr="009748C5" w:rsidRDefault="009748C5" w:rsidP="009748C5">
      <w:pPr>
        <w:rPr>
          <w:b/>
        </w:rPr>
      </w:pPr>
    </w:p>
    <w:p w14:paraId="77BB47D1" w14:textId="77777777" w:rsidR="009748C5" w:rsidRPr="009748C5" w:rsidRDefault="009748C5" w:rsidP="009748C5">
      <w:r w:rsidRPr="009748C5">
        <w:rPr>
          <w:b/>
        </w:rPr>
        <w:t xml:space="preserve">Specialized Service Facilities – </w:t>
      </w:r>
      <w:r w:rsidRPr="009748C5">
        <w:t xml:space="preserve">Specialized Service Facilities (SSF) are “Service Center” facilities that provide highly complex/specialized services and equipment with annual revenues greater than $1,000,000 and significant expenditures to/revenues from federal awards (50% or more). SSF’s additionally are resources that provide equipment, technical and administrative support, repository capabilities, consultation and/or training services in a specific scientific area for a fee to all investigators within the institution and possibly to external </w:t>
      </w:r>
      <w:proofErr w:type="gramStart"/>
      <w:r w:rsidRPr="009748C5">
        <w:t>constituents..</w:t>
      </w:r>
      <w:proofErr w:type="gramEnd"/>
      <w:r w:rsidRPr="009748C5">
        <w:t xml:space="preserve"> SSFs will develop rates which include direct, and in some cases indirect costs depending on the type of user, associated with providing the services.</w:t>
      </w:r>
    </w:p>
    <w:p w14:paraId="5B75B88A" w14:textId="46D02CB1" w:rsidR="00517F51" w:rsidRDefault="00DF7C6F" w:rsidP="009D5F46">
      <w:pPr>
        <w:pStyle w:val="Heading2"/>
      </w:pPr>
      <w:bookmarkStart w:id="5" w:name="_Toc528678445"/>
      <w:bookmarkStart w:id="6" w:name="_Toc528678446"/>
      <w:bookmarkStart w:id="7" w:name="_Toc5116497"/>
      <w:bookmarkEnd w:id="5"/>
      <w:r>
        <w:t xml:space="preserve">Purpose of </w:t>
      </w:r>
      <w:r w:rsidR="009748C5">
        <w:t>Service Center/Core Facility</w:t>
      </w:r>
      <w:r w:rsidR="00065DFA">
        <w:t xml:space="preserve"> Charging</w:t>
      </w:r>
      <w:bookmarkEnd w:id="6"/>
      <w:r w:rsidR="003343B4">
        <w:t xml:space="preserve"> </w:t>
      </w:r>
      <w:bookmarkEnd w:id="7"/>
    </w:p>
    <w:p w14:paraId="634C871D" w14:textId="0289ECD7" w:rsidR="002D41E9" w:rsidRDefault="00923E9C" w:rsidP="002D41E9">
      <w:r>
        <w:t>This</w:t>
      </w:r>
      <w:r w:rsidR="00430E6C">
        <w:t xml:space="preserve"> procedure outlines how </w:t>
      </w:r>
      <w:r w:rsidR="009748C5">
        <w:t>service centers/core facilities</w:t>
      </w:r>
      <w:r w:rsidR="00430E6C" w:rsidRPr="00507BB3">
        <w:t xml:space="preserve"> </w:t>
      </w:r>
      <w:r w:rsidR="00410CCD">
        <w:t xml:space="preserve">charge </w:t>
      </w:r>
      <w:r w:rsidR="00430E6C" w:rsidRPr="00507BB3">
        <w:t>for goods and/or services</w:t>
      </w:r>
      <w:r w:rsidR="00410CCD">
        <w:t xml:space="preserve"> to internal and external consumers</w:t>
      </w:r>
      <w:r w:rsidR="00430E6C" w:rsidRPr="00507BB3">
        <w:t>.</w:t>
      </w:r>
      <w:r w:rsidR="00430E6C">
        <w:t xml:space="preserve"> </w:t>
      </w:r>
      <w:r w:rsidR="002D41E9" w:rsidRPr="007A7D2B">
        <w:t>The purpose of implementing an accounting procedure</w:t>
      </w:r>
      <w:r w:rsidR="00430E6C">
        <w:t xml:space="preserve"> </w:t>
      </w:r>
      <w:r w:rsidR="002D41E9" w:rsidRPr="007A7D2B">
        <w:t>is to:</w:t>
      </w:r>
    </w:p>
    <w:p w14:paraId="2E30F5EB" w14:textId="0075307E" w:rsidR="002D41E9" w:rsidRDefault="002D41E9" w:rsidP="002D41E9">
      <w:pPr>
        <w:pStyle w:val="ListParagraph"/>
        <w:numPr>
          <w:ilvl w:val="0"/>
          <w:numId w:val="11"/>
        </w:numPr>
      </w:pPr>
      <w:r>
        <w:t>Define, s</w:t>
      </w:r>
      <w:r w:rsidRPr="007A7D2B">
        <w:t>tandardize</w:t>
      </w:r>
      <w:r>
        <w:t>,</w:t>
      </w:r>
      <w:r w:rsidRPr="007A7D2B">
        <w:t xml:space="preserve"> and promote the consistent accounting treatment for recording </w:t>
      </w:r>
      <w:r w:rsidR="009748C5">
        <w:t>service center/core facility</w:t>
      </w:r>
      <w:r>
        <w:t xml:space="preserve"> charge transactions</w:t>
      </w:r>
      <w:r w:rsidRPr="007A7D2B">
        <w:t xml:space="preserve"> across the </w:t>
      </w:r>
      <w:r w:rsidR="007803D0">
        <w:t>University</w:t>
      </w:r>
      <w:r w:rsidRPr="007A7D2B">
        <w:t>, whereby expenses are recorded accurately to ensure that year-end financial statements are precise, and do not double-count expenditures.</w:t>
      </w:r>
    </w:p>
    <w:p w14:paraId="275704CD" w14:textId="0320A691" w:rsidR="002D41E9" w:rsidRDefault="002D41E9" w:rsidP="002D41E9">
      <w:pPr>
        <w:pStyle w:val="ListParagraph"/>
        <w:numPr>
          <w:ilvl w:val="0"/>
          <w:numId w:val="11"/>
        </w:numPr>
      </w:pPr>
      <w:r w:rsidRPr="00507BB3">
        <w:t xml:space="preserve">Ensure that </w:t>
      </w:r>
      <w:r w:rsidR="009748C5">
        <w:t xml:space="preserve">service center/core facility </w:t>
      </w:r>
      <w:r>
        <w:t>internal charge transactions</w:t>
      </w:r>
      <w:r w:rsidRPr="00507BB3">
        <w:t xml:space="preserve"> do not increase the total </w:t>
      </w:r>
      <w:r w:rsidR="005F3D31">
        <w:t>u</w:t>
      </w:r>
      <w:r w:rsidRPr="00507BB3">
        <w:t xml:space="preserve">niversity income or </w:t>
      </w:r>
      <w:r w:rsidR="00D603FC" w:rsidRPr="00507BB3">
        <w:t>expenses or</w:t>
      </w:r>
      <w:r w:rsidRPr="00507BB3">
        <w:t xml:space="preserve"> misstate the operating results of any </w:t>
      </w:r>
      <w:r w:rsidR="005F3D31">
        <w:t>u</w:t>
      </w:r>
      <w:r w:rsidRPr="00507BB3">
        <w:t xml:space="preserve">niversity </w:t>
      </w:r>
      <w:r w:rsidR="00E269CB">
        <w:t xml:space="preserve">department or </w:t>
      </w:r>
      <w:r w:rsidRPr="00507BB3">
        <w:t>unit.</w:t>
      </w:r>
    </w:p>
    <w:p w14:paraId="0D530284" w14:textId="58F98550" w:rsidR="008D10F4" w:rsidRDefault="008D10F4" w:rsidP="008D10F4">
      <w:pPr>
        <w:pStyle w:val="ListParagraph"/>
        <w:numPr>
          <w:ilvl w:val="0"/>
          <w:numId w:val="11"/>
        </w:numPr>
      </w:pPr>
      <w:r>
        <w:t>E</w:t>
      </w:r>
      <w:r w:rsidRPr="007A7D2B">
        <w:t>nsure adherence to Generally Accept</w:t>
      </w:r>
      <w:r>
        <w:t xml:space="preserve">ed Accounting Principles (GAAP) &amp; </w:t>
      </w:r>
      <w:r w:rsidRPr="00507BB3">
        <w:t>compliance with state and federal regulation</w:t>
      </w:r>
      <w:r>
        <w:t>s</w:t>
      </w:r>
      <w:r w:rsidRPr="00507BB3">
        <w:t xml:space="preserve"> surrounding revenue and expense transactions at the </w:t>
      </w:r>
      <w:r w:rsidR="007803D0">
        <w:t>University</w:t>
      </w:r>
      <w:r w:rsidRPr="00507BB3">
        <w:t>.</w:t>
      </w:r>
    </w:p>
    <w:p w14:paraId="21086485" w14:textId="5CE14550" w:rsidR="00034EC3" w:rsidRDefault="00034EC3" w:rsidP="00034EC3">
      <w:pPr>
        <w:pStyle w:val="Heading2"/>
      </w:pPr>
      <w:bookmarkStart w:id="8" w:name="_Toc528919738"/>
      <w:bookmarkStart w:id="9" w:name="_Toc529879482"/>
      <w:bookmarkStart w:id="10" w:name="_Toc528919739"/>
      <w:bookmarkStart w:id="11" w:name="_Toc529879483"/>
      <w:bookmarkStart w:id="12" w:name="_Toc5116498"/>
      <w:bookmarkEnd w:id="8"/>
      <w:bookmarkEnd w:id="9"/>
      <w:bookmarkEnd w:id="10"/>
      <w:bookmarkEnd w:id="11"/>
      <w:r>
        <w:t xml:space="preserve">Characteristics of </w:t>
      </w:r>
      <w:bookmarkEnd w:id="12"/>
      <w:r w:rsidR="00161814">
        <w:t>Service Centers/Core Facilities</w:t>
      </w:r>
      <w:r>
        <w:t xml:space="preserve"> </w:t>
      </w:r>
    </w:p>
    <w:p w14:paraId="5A04FFC2" w14:textId="53871806" w:rsidR="00034EC3" w:rsidRDefault="00034EC3" w:rsidP="00034EC3">
      <w:r>
        <w:t xml:space="preserve">The following are the characteristics of </w:t>
      </w:r>
      <w:r w:rsidR="009748C5">
        <w:t>Service Centers/Core Facilities</w:t>
      </w:r>
      <w:r>
        <w:t>:</w:t>
      </w:r>
    </w:p>
    <w:p w14:paraId="76232CA1" w14:textId="29029A8E" w:rsidR="00B01A93" w:rsidRDefault="009748C5" w:rsidP="009748C5">
      <w:pPr>
        <w:pStyle w:val="ListParagraph"/>
        <w:numPr>
          <w:ilvl w:val="0"/>
          <w:numId w:val="11"/>
        </w:numPr>
      </w:pPr>
      <w:r>
        <w:t>O</w:t>
      </w:r>
      <w:r w:rsidRPr="009748C5">
        <w:t>perating units within R</w:t>
      </w:r>
      <w:r w:rsidR="00D60807">
        <w:t xml:space="preserve">utgers </w:t>
      </w:r>
      <w:r w:rsidRPr="009748C5">
        <w:t>U</w:t>
      </w:r>
      <w:r w:rsidR="00D60807">
        <w:t>niversity (RU)</w:t>
      </w:r>
      <w:r w:rsidRPr="009748C5">
        <w:t xml:space="preserve"> that provide goods or services to</w:t>
      </w:r>
      <w:r w:rsidR="00161814">
        <w:t xml:space="preserve"> in</w:t>
      </w:r>
      <w:r w:rsidR="00B01A93">
        <w:t xml:space="preserve">ternal units, </w:t>
      </w:r>
      <w:r w:rsidRPr="009748C5">
        <w:t>externally sponsored awards</w:t>
      </w:r>
      <w:r w:rsidR="00161814">
        <w:t>, and ex</w:t>
      </w:r>
      <w:r w:rsidR="00B01A93">
        <w:t>ternal clients</w:t>
      </w:r>
      <w:r w:rsidR="00161814">
        <w:t xml:space="preserve"> (incidentally)</w:t>
      </w:r>
      <w:r w:rsidRPr="009748C5">
        <w:t xml:space="preserve"> for a fee based on a</w:t>
      </w:r>
      <w:r w:rsidR="00B01A93">
        <w:t xml:space="preserve">n approved rate </w:t>
      </w:r>
      <w:proofErr w:type="gramStart"/>
      <w:r w:rsidR="00B01A93">
        <w:t>schedule</w:t>
      </w:r>
      <w:proofErr w:type="gramEnd"/>
    </w:p>
    <w:p w14:paraId="6CAC4C02" w14:textId="75E9EF29" w:rsidR="00B01A93" w:rsidRDefault="00B01A93" w:rsidP="00B01A93">
      <w:pPr>
        <w:pStyle w:val="ListParagraph"/>
        <w:numPr>
          <w:ilvl w:val="0"/>
          <w:numId w:val="11"/>
        </w:numPr>
      </w:pPr>
      <w:r>
        <w:t>O</w:t>
      </w:r>
      <w:r w:rsidRPr="00161814">
        <w:t xml:space="preserve">ffer goods or services on an on-going basis that are unique, convenient, or not readily available from external </w:t>
      </w:r>
      <w:proofErr w:type="gramStart"/>
      <w:r w:rsidRPr="00161814">
        <w:t>sources</w:t>
      </w:r>
      <w:proofErr w:type="gramEnd"/>
    </w:p>
    <w:p w14:paraId="550982CF" w14:textId="0FD9D478" w:rsidR="00161814" w:rsidRDefault="00085750" w:rsidP="009748C5">
      <w:pPr>
        <w:pStyle w:val="ListParagraph"/>
        <w:numPr>
          <w:ilvl w:val="0"/>
          <w:numId w:val="11"/>
        </w:numPr>
      </w:pPr>
      <w:r>
        <w:t xml:space="preserve">Rates </w:t>
      </w:r>
      <w:r w:rsidR="00B01A93">
        <w:t>designed to r</w:t>
      </w:r>
      <w:r w:rsidR="009748C5" w:rsidRPr="009748C5">
        <w:t xml:space="preserve">ecover no more than the aggregate cost of goods or services and break-even over </w:t>
      </w:r>
      <w:proofErr w:type="gramStart"/>
      <w:r w:rsidR="009748C5" w:rsidRPr="009748C5">
        <w:t>time</w:t>
      </w:r>
      <w:proofErr w:type="gramEnd"/>
    </w:p>
    <w:p w14:paraId="513A6BB8" w14:textId="72734B2D" w:rsidR="00034EC3" w:rsidRDefault="00034EC3" w:rsidP="009748C5">
      <w:pPr>
        <w:pStyle w:val="ListParagraph"/>
        <w:numPr>
          <w:ilvl w:val="0"/>
          <w:numId w:val="11"/>
        </w:numPr>
      </w:pPr>
      <w:r>
        <w:t xml:space="preserve">Activities are consistent with the </w:t>
      </w:r>
      <w:r w:rsidR="007803D0">
        <w:t>University</w:t>
      </w:r>
      <w:r>
        <w:t>'s mission.</w:t>
      </w:r>
    </w:p>
    <w:p w14:paraId="706AE505" w14:textId="2D1C44AC" w:rsidR="00161814" w:rsidRDefault="00161814" w:rsidP="00161814">
      <w:pPr>
        <w:pStyle w:val="ListParagraph"/>
        <w:numPr>
          <w:ilvl w:val="0"/>
          <w:numId w:val="11"/>
        </w:numPr>
      </w:pPr>
      <w:r w:rsidRPr="00161814">
        <w:lastRenderedPageBreak/>
        <w:t xml:space="preserve">Activities conducted are not classified as sponsored research, and cannot be used to replace the performance of sponsored </w:t>
      </w:r>
      <w:proofErr w:type="gramStart"/>
      <w:r w:rsidRPr="00161814">
        <w:t>research</w:t>
      </w:r>
      <w:proofErr w:type="gramEnd"/>
    </w:p>
    <w:p w14:paraId="6642CD9C" w14:textId="6E70F673" w:rsidR="00034EC3" w:rsidRDefault="00034EC3" w:rsidP="00034EC3">
      <w:pPr>
        <w:pStyle w:val="ListParagraph"/>
        <w:numPr>
          <w:ilvl w:val="0"/>
          <w:numId w:val="11"/>
        </w:numPr>
      </w:pPr>
      <w:r>
        <w:t xml:space="preserve">Any Activities that are illegal or that violate </w:t>
      </w:r>
      <w:r w:rsidR="007803D0">
        <w:t>University</w:t>
      </w:r>
      <w:r>
        <w:t>, State, Federal, or GAAP policy/guidelines/standards are not permitted.</w:t>
      </w:r>
    </w:p>
    <w:p w14:paraId="25CC03CD" w14:textId="774A9E79" w:rsidR="00172DC0" w:rsidRPr="00172DC0" w:rsidRDefault="00161814" w:rsidP="003C4E1D">
      <w:pPr>
        <w:pStyle w:val="Heading2"/>
      </w:pPr>
      <w:r>
        <w:t>Users of Service Centers/Core Facilities</w:t>
      </w:r>
    </w:p>
    <w:p w14:paraId="50CEA5CA" w14:textId="77777777" w:rsidR="00161814" w:rsidRPr="00161814" w:rsidRDefault="00161814" w:rsidP="00161814">
      <w:r w:rsidRPr="00161814">
        <w:t>Although service centers primarily serve internal users and sponsored awards, external users may incidentally also utilize the centers. These user groups are defined below.</w:t>
      </w:r>
    </w:p>
    <w:p w14:paraId="7E47826B" w14:textId="7F9D3E97" w:rsidR="00161814" w:rsidRPr="00161814" w:rsidRDefault="00161814" w:rsidP="00161814">
      <w:r w:rsidRPr="00161814">
        <w:rPr>
          <w:b/>
        </w:rPr>
        <w:t>Internal User</w:t>
      </w:r>
      <w:r w:rsidRPr="00161814">
        <w:t xml:space="preserve"> - A school, department, faculty or staff member of the </w:t>
      </w:r>
      <w:r w:rsidR="007803D0">
        <w:t>U</w:t>
      </w:r>
      <w:r w:rsidRPr="00161814">
        <w:t xml:space="preserve">niversity that purchases goods or services to support a program or activity at Rutgers.  Only direct costs are included in rates/costs for internal users. Internal users include Principal Investigators whose activities are funded by externally sponsored programs to the </w:t>
      </w:r>
      <w:r w:rsidR="007803D0">
        <w:t>University</w:t>
      </w:r>
      <w:r w:rsidRPr="00161814">
        <w:t xml:space="preserve">, since these programs represent </w:t>
      </w:r>
      <w:r w:rsidR="007803D0">
        <w:t>university</w:t>
      </w:r>
      <w:r w:rsidRPr="00161814">
        <w:t xml:space="preserve"> activities. </w:t>
      </w:r>
    </w:p>
    <w:p w14:paraId="3170347A" w14:textId="68B92471" w:rsidR="00161814" w:rsidRPr="00161814" w:rsidRDefault="00161814" w:rsidP="00161814">
      <w:r w:rsidRPr="00161814">
        <w:rPr>
          <w:b/>
        </w:rPr>
        <w:t>External User</w:t>
      </w:r>
      <w:r w:rsidRPr="00161814">
        <w:t xml:space="preserve"> - An external user is an entity or person with whom the </w:t>
      </w:r>
      <w:r w:rsidR="007803D0">
        <w:t>University</w:t>
      </w:r>
      <w:r w:rsidRPr="00161814">
        <w:t xml:space="preserve"> has no direct affiliation and for which the </w:t>
      </w:r>
      <w:r w:rsidR="007803D0">
        <w:t>University</w:t>
      </w:r>
      <w:r w:rsidRPr="00161814">
        <w:t xml:space="preserve"> has no fiduciary responsibility, and payments will be made from a non-Rutgers funding source.  The billing rates for external users must also include indirect costs in addition to the direct costs charged internally. External users can be charged a market rate to prevent potential claims of unfair competition from local businesses.  Any resulting surpluses will be used to offset calculated rates in future years.</w:t>
      </w:r>
    </w:p>
    <w:p w14:paraId="02FFFBC3" w14:textId="6F2008AA" w:rsidR="00FC2ABC" w:rsidRPr="00161814" w:rsidRDefault="00161814" w:rsidP="00161814">
      <w:r w:rsidRPr="00161814">
        <w:t>Before providing goods or services to external users, service c</w:t>
      </w:r>
      <w:r w:rsidR="00D900E4">
        <w:t xml:space="preserve">enters should consult with the </w:t>
      </w:r>
      <w:r w:rsidRPr="00161814">
        <w:t xml:space="preserve">Tax Director within the </w:t>
      </w:r>
      <w:r w:rsidR="00040BA0">
        <w:t>University Financial Administration</w:t>
      </w:r>
      <w:r w:rsidRPr="00161814">
        <w:t xml:space="preserve"> </w:t>
      </w:r>
      <w:r w:rsidR="00FF54D6">
        <w:t>(</w:t>
      </w:r>
      <w:r w:rsidR="00040BA0">
        <w:t>UFA</w:t>
      </w:r>
      <w:r w:rsidR="00FF54D6">
        <w:t>)</w:t>
      </w:r>
      <w:r w:rsidRPr="00161814">
        <w:t xml:space="preserve">, as some income may be taxable. In addition, service centers that sell goods and services to external users may be engaged in an “unrelated trade or business” as defined by the Internal Revenue Code. Revenues from these activities </w:t>
      </w:r>
      <w:proofErr w:type="gramStart"/>
      <w:r w:rsidRPr="00161814">
        <w:t>are may be</w:t>
      </w:r>
      <w:proofErr w:type="gramEnd"/>
      <w:r w:rsidRPr="00161814">
        <w:t xml:space="preserve"> subject to federal and state income taxes and must be reported by the </w:t>
      </w:r>
      <w:r w:rsidR="007803D0">
        <w:t>university</w:t>
      </w:r>
      <w:r w:rsidRPr="00161814">
        <w:t xml:space="preserve"> on its federal income tax return.</w:t>
      </w:r>
    </w:p>
    <w:p w14:paraId="56E64897" w14:textId="1725D27B" w:rsidR="00161406" w:rsidRDefault="005F1784" w:rsidP="00017389">
      <w:pPr>
        <w:pStyle w:val="Heading2"/>
      </w:pPr>
      <w:bookmarkStart w:id="13" w:name="_Toc528678450"/>
      <w:bookmarkStart w:id="14" w:name="_Toc528678452"/>
      <w:bookmarkStart w:id="15" w:name="_Toc5116500"/>
      <w:bookmarkEnd w:id="13"/>
      <w:r>
        <w:t>Rate Calculation</w:t>
      </w:r>
      <w:bookmarkEnd w:id="14"/>
      <w:r w:rsidR="00C05798">
        <w:t>s</w:t>
      </w:r>
      <w:bookmarkEnd w:id="15"/>
    </w:p>
    <w:p w14:paraId="4D186D2D" w14:textId="006DBA2C" w:rsidR="00C05798" w:rsidRPr="00017389" w:rsidRDefault="00C05798" w:rsidP="005051D1">
      <w:pPr>
        <w:spacing w:after="0"/>
        <w:rPr>
          <w:rFonts w:cs="Calibri"/>
          <w:b/>
          <w:color w:val="212121"/>
          <w:szCs w:val="24"/>
        </w:rPr>
      </w:pPr>
      <w:r w:rsidRPr="00017389">
        <w:rPr>
          <w:rFonts w:cs="Calibri"/>
          <w:b/>
          <w:color w:val="212121"/>
          <w:szCs w:val="24"/>
        </w:rPr>
        <w:t>Allowable Costs</w:t>
      </w:r>
    </w:p>
    <w:p w14:paraId="7A6DD322" w14:textId="50B1B924" w:rsidR="005051D1" w:rsidRPr="00CC40BC" w:rsidRDefault="005051D1" w:rsidP="005051D1">
      <w:pPr>
        <w:spacing w:after="0"/>
        <w:rPr>
          <w:rFonts w:cs="Calibri"/>
          <w:color w:val="212121"/>
          <w:szCs w:val="24"/>
        </w:rPr>
      </w:pPr>
      <w:r w:rsidRPr="00CC40BC">
        <w:rPr>
          <w:rFonts w:cs="Calibri"/>
          <w:color w:val="212121"/>
          <w:szCs w:val="24"/>
        </w:rPr>
        <w:t xml:space="preserve">User fees must be based on and designed to recover no </w:t>
      </w:r>
      <w:r>
        <w:rPr>
          <w:rFonts w:cs="Calibri"/>
          <w:color w:val="212121"/>
          <w:szCs w:val="24"/>
        </w:rPr>
        <w:t xml:space="preserve">more than the </w:t>
      </w:r>
      <w:r w:rsidRPr="00CC40BC">
        <w:rPr>
          <w:rFonts w:cs="Calibri"/>
          <w:color w:val="212121"/>
          <w:szCs w:val="24"/>
        </w:rPr>
        <w:t>operating costs for the goods or services being</w:t>
      </w:r>
      <w:r>
        <w:rPr>
          <w:rFonts w:cs="Calibri"/>
          <w:color w:val="212121"/>
          <w:szCs w:val="24"/>
        </w:rPr>
        <w:t xml:space="preserve"> provided.  Examples of </w:t>
      </w:r>
      <w:r w:rsidRPr="00CC40BC">
        <w:rPr>
          <w:rFonts w:cs="Calibri"/>
          <w:color w:val="212121"/>
          <w:szCs w:val="24"/>
        </w:rPr>
        <w:t>allowable operating costs include:</w:t>
      </w:r>
    </w:p>
    <w:p w14:paraId="6249AD92" w14:textId="4BE4D62E" w:rsidR="005051D1" w:rsidRPr="00CC40BC" w:rsidRDefault="005051D1" w:rsidP="005051D1">
      <w:pPr>
        <w:pStyle w:val="ListParagraph"/>
        <w:numPr>
          <w:ilvl w:val="0"/>
          <w:numId w:val="13"/>
        </w:numPr>
        <w:spacing w:after="0"/>
        <w:rPr>
          <w:rFonts w:cs="Calibri"/>
          <w:color w:val="212121"/>
        </w:rPr>
      </w:pPr>
      <w:r>
        <w:rPr>
          <w:rFonts w:cs="Calibri"/>
          <w:color w:val="212121"/>
        </w:rPr>
        <w:t>S</w:t>
      </w:r>
      <w:r w:rsidRPr="00CC40BC">
        <w:rPr>
          <w:rFonts w:cs="Calibri"/>
          <w:color w:val="212121"/>
        </w:rPr>
        <w:t xml:space="preserve">alaries and wages, and applicable </w:t>
      </w:r>
      <w:r w:rsidR="007803D0">
        <w:rPr>
          <w:rFonts w:cs="Calibri"/>
          <w:color w:val="212121"/>
        </w:rPr>
        <w:t>university</w:t>
      </w:r>
      <w:r>
        <w:rPr>
          <w:rFonts w:cs="Calibri"/>
          <w:color w:val="212121"/>
        </w:rPr>
        <w:t xml:space="preserve"> fringe</w:t>
      </w:r>
      <w:r w:rsidRPr="00CC40BC">
        <w:rPr>
          <w:rFonts w:cs="Calibri"/>
          <w:color w:val="212121"/>
        </w:rPr>
        <w:t xml:space="preserve"> benefit rates</w:t>
      </w:r>
    </w:p>
    <w:p w14:paraId="3F949B5F" w14:textId="77777777" w:rsidR="005051D1" w:rsidRPr="00CC40BC" w:rsidRDefault="005051D1" w:rsidP="005051D1">
      <w:pPr>
        <w:pStyle w:val="ListParagraph"/>
        <w:numPr>
          <w:ilvl w:val="0"/>
          <w:numId w:val="13"/>
        </w:numPr>
        <w:spacing w:after="0"/>
        <w:rPr>
          <w:rFonts w:cs="Calibri"/>
          <w:color w:val="212121"/>
        </w:rPr>
      </w:pPr>
      <w:r>
        <w:rPr>
          <w:rFonts w:cs="Calibri"/>
          <w:color w:val="212121"/>
        </w:rPr>
        <w:t>S</w:t>
      </w:r>
      <w:r w:rsidRPr="00CC40BC">
        <w:rPr>
          <w:rFonts w:cs="Calibri"/>
          <w:color w:val="212121"/>
        </w:rPr>
        <w:t xml:space="preserve">upplies and materials </w:t>
      </w:r>
    </w:p>
    <w:p w14:paraId="4319637A" w14:textId="2155E20E" w:rsidR="005051D1" w:rsidRPr="00CC40BC" w:rsidRDefault="00161814" w:rsidP="005051D1">
      <w:pPr>
        <w:pStyle w:val="ListParagraph"/>
        <w:numPr>
          <w:ilvl w:val="0"/>
          <w:numId w:val="13"/>
        </w:numPr>
        <w:spacing w:after="0"/>
        <w:rPr>
          <w:rFonts w:cs="Calibri"/>
          <w:color w:val="212121"/>
        </w:rPr>
      </w:pPr>
      <w:r>
        <w:rPr>
          <w:rFonts w:cs="Calibri"/>
          <w:color w:val="212121"/>
        </w:rPr>
        <w:t xml:space="preserve">Capital Equipment maintenance contracts and </w:t>
      </w:r>
      <w:proofErr w:type="gramStart"/>
      <w:r>
        <w:rPr>
          <w:rFonts w:cs="Calibri"/>
          <w:color w:val="212121"/>
        </w:rPr>
        <w:t>depreciation</w:t>
      </w:r>
      <w:proofErr w:type="gramEnd"/>
      <w:r w:rsidR="005051D1" w:rsidRPr="00CC40BC">
        <w:rPr>
          <w:rFonts w:cs="Calibri"/>
          <w:color w:val="212121"/>
        </w:rPr>
        <w:t xml:space="preserve"> </w:t>
      </w:r>
    </w:p>
    <w:p w14:paraId="5FDE3B45" w14:textId="0DC4AD6F" w:rsidR="005051D1" w:rsidRPr="00CC40BC" w:rsidRDefault="005051D1" w:rsidP="005051D1">
      <w:pPr>
        <w:pStyle w:val="ListParagraph"/>
        <w:numPr>
          <w:ilvl w:val="0"/>
          <w:numId w:val="13"/>
        </w:numPr>
        <w:spacing w:after="0"/>
        <w:rPr>
          <w:rFonts w:cs="Calibri"/>
          <w:color w:val="212121"/>
        </w:rPr>
      </w:pPr>
      <w:r>
        <w:rPr>
          <w:rFonts w:cs="Calibri"/>
          <w:color w:val="212121"/>
        </w:rPr>
        <w:lastRenderedPageBreak/>
        <w:t>O</w:t>
      </w:r>
      <w:r w:rsidRPr="00CC40BC">
        <w:rPr>
          <w:rFonts w:cs="Calibri"/>
          <w:color w:val="212121"/>
        </w:rPr>
        <w:t xml:space="preserve">ther </w:t>
      </w:r>
      <w:proofErr w:type="gramStart"/>
      <w:r w:rsidRPr="00CC40BC">
        <w:rPr>
          <w:rFonts w:cs="Calibri"/>
          <w:color w:val="212121"/>
        </w:rPr>
        <w:t>directly-related</w:t>
      </w:r>
      <w:proofErr w:type="gramEnd"/>
      <w:r w:rsidRPr="00CC40BC">
        <w:rPr>
          <w:rFonts w:cs="Calibri"/>
          <w:color w:val="212121"/>
        </w:rPr>
        <w:t xml:space="preserve"> expenses related to the service provided (e.g., travel, communications)</w:t>
      </w:r>
    </w:p>
    <w:p w14:paraId="42623AF3" w14:textId="2A3D2709" w:rsidR="005051D1" w:rsidRPr="00017389" w:rsidRDefault="00C05798" w:rsidP="00017389">
      <w:pPr>
        <w:rPr>
          <w:rFonts w:cs="Calibri"/>
          <w:color w:val="212121"/>
          <w:szCs w:val="24"/>
          <w:highlight w:val="yellow"/>
        </w:rPr>
      </w:pPr>
      <w:r w:rsidRPr="00017389">
        <w:rPr>
          <w:b/>
        </w:rPr>
        <w:t xml:space="preserve">Unallowable </w:t>
      </w:r>
      <w:r w:rsidR="005051D1" w:rsidRPr="00017389">
        <w:rPr>
          <w:b/>
        </w:rPr>
        <w:t xml:space="preserve">Costs </w:t>
      </w:r>
    </w:p>
    <w:p w14:paraId="4D7C58D0" w14:textId="533253B0" w:rsidR="005051D1" w:rsidRPr="00A47F0A" w:rsidRDefault="005051D1" w:rsidP="005051D1">
      <w:pPr>
        <w:pStyle w:val="ListParagraph"/>
        <w:numPr>
          <w:ilvl w:val="0"/>
          <w:numId w:val="14"/>
        </w:numPr>
        <w:spacing w:after="0"/>
        <w:rPr>
          <w:rFonts w:cs="Calibri"/>
          <w:color w:val="212121"/>
        </w:rPr>
      </w:pPr>
      <w:r w:rsidRPr="00A47F0A">
        <w:rPr>
          <w:rFonts w:cs="Calibri"/>
          <w:color w:val="212121"/>
        </w:rPr>
        <w:t xml:space="preserve">Charges included in RCM </w:t>
      </w:r>
      <w:r w:rsidR="005F1784" w:rsidRPr="00A47F0A">
        <w:rPr>
          <w:rFonts w:cs="Calibri"/>
          <w:color w:val="212121"/>
        </w:rPr>
        <w:t xml:space="preserve">(Responsibility Center Management) </w:t>
      </w:r>
      <w:r w:rsidRPr="00A47F0A">
        <w:rPr>
          <w:rFonts w:cs="Calibri"/>
          <w:color w:val="212121"/>
        </w:rPr>
        <w:t>cost allocations</w:t>
      </w:r>
      <w:r w:rsidR="00AA178E">
        <w:rPr>
          <w:rFonts w:cs="Calibri"/>
          <w:color w:val="212121"/>
        </w:rPr>
        <w:t xml:space="preserve">, such as </w:t>
      </w:r>
      <w:r w:rsidRPr="00A47F0A">
        <w:rPr>
          <w:rFonts w:cs="Calibri"/>
          <w:color w:val="212121"/>
        </w:rPr>
        <w:t xml:space="preserve">facilities expenses </w:t>
      </w:r>
      <w:r w:rsidR="00AA178E">
        <w:rPr>
          <w:rFonts w:cs="Calibri"/>
          <w:color w:val="212121"/>
        </w:rPr>
        <w:t>for</w:t>
      </w:r>
      <w:r w:rsidRPr="00A47F0A">
        <w:rPr>
          <w:rFonts w:cs="Calibri"/>
          <w:color w:val="212121"/>
        </w:rPr>
        <w:t xml:space="preserve"> utilities, maintenance, and custodial cost</w:t>
      </w:r>
      <w:r w:rsidR="00AA178E">
        <w:rPr>
          <w:rFonts w:cs="Calibri"/>
          <w:color w:val="212121"/>
        </w:rPr>
        <w:t>s, are</w:t>
      </w:r>
      <w:r w:rsidRPr="00A47F0A">
        <w:rPr>
          <w:rFonts w:cs="Calibri"/>
          <w:color w:val="212121"/>
        </w:rPr>
        <w:t xml:space="preserve"> paid by the </w:t>
      </w:r>
      <w:r w:rsidR="007803D0">
        <w:rPr>
          <w:rFonts w:cs="Calibri"/>
          <w:color w:val="212121"/>
        </w:rPr>
        <w:t>University</w:t>
      </w:r>
      <w:r w:rsidRPr="00A47F0A">
        <w:rPr>
          <w:rFonts w:cs="Calibri"/>
          <w:color w:val="212121"/>
        </w:rPr>
        <w:t xml:space="preserve"> and not recorded in the operation or service facility account</w:t>
      </w:r>
      <w:r w:rsidR="00AA178E">
        <w:rPr>
          <w:rFonts w:cs="Calibri"/>
          <w:color w:val="212121"/>
        </w:rPr>
        <w:t>.</w:t>
      </w:r>
    </w:p>
    <w:p w14:paraId="5051347E" w14:textId="5A55E05A" w:rsidR="005051D1" w:rsidRDefault="005051D1" w:rsidP="005051D1">
      <w:pPr>
        <w:pStyle w:val="ListParagraph"/>
        <w:numPr>
          <w:ilvl w:val="0"/>
          <w:numId w:val="14"/>
        </w:numPr>
        <w:spacing w:after="0"/>
        <w:rPr>
          <w:rFonts w:cs="Calibri"/>
          <w:color w:val="212121"/>
        </w:rPr>
      </w:pPr>
      <w:r w:rsidRPr="00197884">
        <w:rPr>
          <w:rFonts w:cs="Calibri"/>
          <w:color w:val="212121"/>
        </w:rPr>
        <w:t xml:space="preserve">Institute and departmental overhead costs that are not charged to the </w:t>
      </w:r>
      <w:r w:rsidR="007C2562">
        <w:rPr>
          <w:rFonts w:cs="Calibri"/>
          <w:color w:val="212121"/>
        </w:rPr>
        <w:t>Fee for Service</w:t>
      </w:r>
      <w:r w:rsidRPr="00197884">
        <w:rPr>
          <w:rFonts w:cs="Calibri"/>
          <w:color w:val="212121"/>
        </w:rPr>
        <w:t xml:space="preserve"> operation or service facility account</w:t>
      </w:r>
      <w:r w:rsidR="00DF45A9">
        <w:rPr>
          <w:rFonts w:cs="Calibri"/>
          <w:color w:val="212121"/>
        </w:rPr>
        <w:t>.</w:t>
      </w:r>
    </w:p>
    <w:p w14:paraId="2B8CCFC9" w14:textId="228406AF" w:rsidR="00161814" w:rsidRDefault="00161814" w:rsidP="00161814">
      <w:pPr>
        <w:spacing w:after="0"/>
        <w:rPr>
          <w:rFonts w:cs="Calibri"/>
          <w:color w:val="212121"/>
        </w:rPr>
      </w:pPr>
    </w:p>
    <w:p w14:paraId="7925A723" w14:textId="77777777" w:rsidR="00161814" w:rsidRPr="00161814" w:rsidRDefault="00161814" w:rsidP="00161814">
      <w:pPr>
        <w:spacing w:after="0"/>
        <w:rPr>
          <w:rFonts w:cs="Calibri"/>
          <w:color w:val="212121"/>
        </w:rPr>
      </w:pPr>
      <w:r w:rsidRPr="00161814">
        <w:rPr>
          <w:rFonts w:cs="Calibri"/>
          <w:color w:val="212121"/>
        </w:rPr>
        <w:t>A service center rate is the cost per unit of goods or services sold set to recover the expenses of the service center and achieve a breakeven financial position. The use of an appropriate billable unit is essential to ensuring that users are charged only their fair share of the actual costs of operating the service center. Rates are based on budgeted projections of operating expenses, including a carryforward surplus/deficit, divided by projected levels of activity or revenue.</w:t>
      </w:r>
    </w:p>
    <w:p w14:paraId="3489DC22" w14:textId="77777777" w:rsidR="00161814" w:rsidRPr="00161814" w:rsidRDefault="00161814" w:rsidP="00161814">
      <w:pPr>
        <w:spacing w:after="0"/>
        <w:rPr>
          <w:rFonts w:cs="Calibri"/>
          <w:color w:val="212121"/>
        </w:rPr>
      </w:pPr>
    </w:p>
    <w:p w14:paraId="27CEC5EA" w14:textId="77777777" w:rsidR="00161814" w:rsidRPr="00161814" w:rsidRDefault="00161814" w:rsidP="00161814">
      <w:pPr>
        <w:spacing w:after="0"/>
        <w:jc w:val="center"/>
        <w:rPr>
          <w:rFonts w:cs="Calibri"/>
          <w:b/>
          <w:color w:val="212121"/>
          <w:u w:val="single"/>
        </w:rPr>
      </w:pPr>
      <w:r w:rsidRPr="00161814">
        <w:rPr>
          <w:rFonts w:cs="Calibri"/>
          <w:b/>
          <w:color w:val="212121"/>
          <w:u w:val="single"/>
        </w:rPr>
        <w:t>Budgeted Expenses +/- Cumulative Carryforward Surplus/Deficit</w:t>
      </w:r>
    </w:p>
    <w:p w14:paraId="3E012EAE" w14:textId="16CB5A59" w:rsidR="00161814" w:rsidRDefault="00161814" w:rsidP="00161814">
      <w:pPr>
        <w:spacing w:after="0"/>
        <w:jc w:val="center"/>
        <w:rPr>
          <w:rFonts w:cs="Calibri"/>
          <w:b/>
          <w:color w:val="212121"/>
        </w:rPr>
      </w:pPr>
      <w:r w:rsidRPr="00161814">
        <w:rPr>
          <w:rFonts w:cs="Calibri"/>
          <w:b/>
          <w:color w:val="212121"/>
        </w:rPr>
        <w:t>Budgeted/Projected Level of Sales of Goods/Services (Billable Units)</w:t>
      </w:r>
    </w:p>
    <w:p w14:paraId="1255C03B" w14:textId="21034EC4" w:rsidR="00161814" w:rsidRDefault="00161814" w:rsidP="00161814">
      <w:pPr>
        <w:spacing w:after="0"/>
        <w:jc w:val="center"/>
        <w:rPr>
          <w:rFonts w:cs="Calibri"/>
          <w:b/>
          <w:color w:val="212121"/>
        </w:rPr>
      </w:pPr>
    </w:p>
    <w:p w14:paraId="16F18C59" w14:textId="629A06F6" w:rsidR="00161814" w:rsidRPr="00161814" w:rsidRDefault="00161814" w:rsidP="00161814">
      <w:pPr>
        <w:spacing w:after="0"/>
        <w:rPr>
          <w:rFonts w:cs="Calibri"/>
          <w:color w:val="212121"/>
        </w:rPr>
      </w:pPr>
      <w:r w:rsidRPr="00161814">
        <w:rPr>
          <w:rFonts w:cs="Calibri"/>
          <w:color w:val="212121"/>
        </w:rPr>
        <w:t xml:space="preserve">Billing rates must be reviewed and computed </w:t>
      </w:r>
      <w:r>
        <w:rPr>
          <w:rFonts w:cs="Calibri"/>
          <w:color w:val="212121"/>
        </w:rPr>
        <w:t xml:space="preserve">and approved by the </w:t>
      </w:r>
      <w:r w:rsidR="00FF54D6">
        <w:rPr>
          <w:rFonts w:cs="Calibri"/>
          <w:color w:val="212121"/>
        </w:rPr>
        <w:t>UCO</w:t>
      </w:r>
      <w:r>
        <w:rPr>
          <w:rFonts w:cs="Calibri"/>
          <w:color w:val="212121"/>
        </w:rPr>
        <w:t xml:space="preserve"> </w:t>
      </w:r>
      <w:r w:rsidRPr="00161814">
        <w:rPr>
          <w:rFonts w:cs="Calibri"/>
          <w:color w:val="212121"/>
        </w:rPr>
        <w:t xml:space="preserve">at least biennially. The rates should be based on a reasonable estimate of the direct operating costs, and where applicable, indirect costs of providing the services for the year.  These estimates can be determined through </w:t>
      </w:r>
      <w:proofErr w:type="gramStart"/>
      <w:r w:rsidRPr="00161814">
        <w:rPr>
          <w:rFonts w:cs="Calibri"/>
          <w:color w:val="212121"/>
        </w:rPr>
        <w:t>use</w:t>
      </w:r>
      <w:proofErr w:type="gramEnd"/>
      <w:r w:rsidRPr="00161814">
        <w:rPr>
          <w:rFonts w:cs="Calibri"/>
          <w:color w:val="212121"/>
        </w:rPr>
        <w:t xml:space="preserve"> of historical costs and billing units or projected costs and billing units.  In some cases, the service center may charge a market price, so long as it recovers no more than cost by doing so.</w:t>
      </w:r>
    </w:p>
    <w:p w14:paraId="04A69980" w14:textId="4654A85D" w:rsidR="001945F7" w:rsidRDefault="00161814" w:rsidP="00161406">
      <w:pPr>
        <w:pStyle w:val="Heading2"/>
      </w:pPr>
      <w:r>
        <w:t>Service Center/Core Facility</w:t>
      </w:r>
      <w:r w:rsidR="00812B6C">
        <w:t xml:space="preserve"> Charging Guidelines</w:t>
      </w:r>
    </w:p>
    <w:p w14:paraId="34D6C4D2" w14:textId="1CC64B44" w:rsidR="005051D1" w:rsidRDefault="00161814" w:rsidP="005051D1">
      <w:r>
        <w:t>Service Center/Core Facility c</w:t>
      </w:r>
      <w:r w:rsidR="005051D1">
        <w:t>harges are to be recorded using the following guidelines:</w:t>
      </w:r>
    </w:p>
    <w:p w14:paraId="0C0548F4" w14:textId="2930A947" w:rsidR="005051D1" w:rsidRDefault="00410CCD" w:rsidP="00410CCD">
      <w:pPr>
        <w:pStyle w:val="ListParagraph"/>
        <w:numPr>
          <w:ilvl w:val="0"/>
          <w:numId w:val="15"/>
        </w:numPr>
      </w:pPr>
      <w:r>
        <w:t>Units</w:t>
      </w:r>
      <w:r w:rsidR="005051D1" w:rsidRPr="00B379BC">
        <w:t xml:space="preserve"> provide goods and services </w:t>
      </w:r>
      <w:r w:rsidR="00DF45A9">
        <w:t xml:space="preserve">using </w:t>
      </w:r>
      <w:r w:rsidR="005051D1" w:rsidRPr="00B379BC">
        <w:t>designate</w:t>
      </w:r>
      <w:r w:rsidR="00DF45A9">
        <w:t>d</w:t>
      </w:r>
      <w:r w:rsidR="00BC60EB">
        <w:t xml:space="preserve"> chart of</w:t>
      </w:r>
      <w:r w:rsidR="005051D1" w:rsidRPr="00B379BC">
        <w:t xml:space="preserve"> account</w:t>
      </w:r>
      <w:r w:rsidR="00BC60EB">
        <w:t>s</w:t>
      </w:r>
      <w:r w:rsidR="005051D1" w:rsidRPr="00B379BC">
        <w:t xml:space="preserve"> values</w:t>
      </w:r>
      <w:r w:rsidR="00DF45A9">
        <w:t xml:space="preserve"> </w:t>
      </w:r>
      <w:r w:rsidR="005051D1" w:rsidRPr="00B379BC">
        <w:t xml:space="preserve">for recording an </w:t>
      </w:r>
      <w:r w:rsidR="005051D1">
        <w:t xml:space="preserve">internal charge. </w:t>
      </w:r>
      <w:r>
        <w:t>The</w:t>
      </w:r>
      <w:r w:rsidR="005051D1" w:rsidRPr="00B379BC">
        <w:t xml:space="preserve"> designated account value required for purchasing goods and/or services </w:t>
      </w:r>
      <w:r>
        <w:t xml:space="preserve">must be provided </w:t>
      </w:r>
      <w:r w:rsidR="005051D1" w:rsidRPr="00B379BC">
        <w:t>on quotes, invoices and any form of communication sent to internal customers</w:t>
      </w:r>
      <w:r w:rsidR="00EB155A">
        <w:t>.</w:t>
      </w:r>
    </w:p>
    <w:p w14:paraId="195CCF24" w14:textId="2C857724" w:rsidR="00DF45A9" w:rsidRDefault="00DF45A9" w:rsidP="00DF45A9">
      <w:pPr>
        <w:pStyle w:val="ListParagraph"/>
        <w:numPr>
          <w:ilvl w:val="0"/>
          <w:numId w:val="15"/>
        </w:numPr>
      </w:pPr>
      <w:r w:rsidRPr="00B379BC">
        <w:t>The unit</w:t>
      </w:r>
      <w:r>
        <w:t>s</w:t>
      </w:r>
      <w:r w:rsidRPr="00B379BC">
        <w:t xml:space="preserve"> that consume the goods and services must use the specific </w:t>
      </w:r>
      <w:r w:rsidR="00BC60EB">
        <w:t>account values designated</w:t>
      </w:r>
      <w:r w:rsidRPr="00B379BC">
        <w:t xml:space="preserve"> when purchasing goods and/or services.</w:t>
      </w:r>
    </w:p>
    <w:p w14:paraId="41CC7269" w14:textId="09D33A99" w:rsidR="005051D1" w:rsidRPr="00A47F0A" w:rsidRDefault="005051D1" w:rsidP="005051D1">
      <w:pPr>
        <w:pStyle w:val="ListParagraph"/>
        <w:numPr>
          <w:ilvl w:val="0"/>
          <w:numId w:val="15"/>
        </w:numPr>
      </w:pPr>
      <w:r w:rsidRPr="00A47F0A">
        <w:lastRenderedPageBreak/>
        <w:t xml:space="preserve">The same </w:t>
      </w:r>
      <w:r w:rsidR="00BC60EB">
        <w:t xml:space="preserve">designated </w:t>
      </w:r>
      <w:r w:rsidR="005A46F1" w:rsidRPr="00A47F0A">
        <w:t xml:space="preserve">natural </w:t>
      </w:r>
      <w:r w:rsidRPr="00A47F0A">
        <w:t>account values must be used for the debit and credit sides of the transactions to ensure that the accounts will net to zero for accurate financial reporting.</w:t>
      </w:r>
    </w:p>
    <w:p w14:paraId="5AA4553E" w14:textId="50620F8D" w:rsidR="005051D1" w:rsidRDefault="54019091" w:rsidP="005051D1">
      <w:pPr>
        <w:pStyle w:val="ListParagraph"/>
        <w:numPr>
          <w:ilvl w:val="0"/>
          <w:numId w:val="15"/>
        </w:numPr>
      </w:pPr>
      <w:r>
        <w:t>The expense requestor and/or approver is responsible for ensuring that the appropriate internal charge natural account value is being used when placing requests.</w:t>
      </w:r>
    </w:p>
    <w:p w14:paraId="0F538E3F" w14:textId="420D3242" w:rsidR="00034EC3" w:rsidRDefault="00034EC3" w:rsidP="00034EC3">
      <w:pPr>
        <w:pStyle w:val="Heading2"/>
      </w:pPr>
      <w:bookmarkStart w:id="16" w:name="_Toc528678451"/>
      <w:bookmarkStart w:id="17" w:name="_Toc5116502"/>
      <w:r>
        <w:t xml:space="preserve">Accounting Requirements for </w:t>
      </w:r>
      <w:bookmarkEnd w:id="16"/>
      <w:bookmarkEnd w:id="17"/>
      <w:r w:rsidR="00BC60EB">
        <w:t>Service Centers/Core Facilities</w:t>
      </w:r>
    </w:p>
    <w:p w14:paraId="1384D018" w14:textId="18B211ED" w:rsidR="00034EC3" w:rsidRDefault="00034EC3" w:rsidP="00034EC3">
      <w:r w:rsidRPr="000C19F2">
        <w:t xml:space="preserve">The </w:t>
      </w:r>
      <w:r>
        <w:t xml:space="preserve">accounting </w:t>
      </w:r>
      <w:r w:rsidRPr="000C19F2">
        <w:t>requirements fo</w:t>
      </w:r>
      <w:r>
        <w:t>r</w:t>
      </w:r>
      <w:r w:rsidR="007C2562">
        <w:t xml:space="preserve"> Service</w:t>
      </w:r>
      <w:r>
        <w:t xml:space="preserve"> Center</w:t>
      </w:r>
      <w:r w:rsidR="004D0EB3">
        <w:t>/Core Facility operating project</w:t>
      </w:r>
      <w:r>
        <w:t>s are</w:t>
      </w:r>
      <w:r w:rsidRPr="000C19F2">
        <w:t>:</w:t>
      </w:r>
    </w:p>
    <w:p w14:paraId="692FEDF3" w14:textId="1490EFF2" w:rsidR="00034EC3" w:rsidRDefault="00885AD6" w:rsidP="00034EC3">
      <w:pPr>
        <w:pStyle w:val="ListParagraph"/>
        <w:numPr>
          <w:ilvl w:val="0"/>
          <w:numId w:val="12"/>
        </w:numPr>
      </w:pPr>
      <w:r>
        <w:t xml:space="preserve">All </w:t>
      </w:r>
      <w:r w:rsidR="00BC60EB">
        <w:t>Service Centers/Core Facilities</w:t>
      </w:r>
      <w:r>
        <w:t xml:space="preserve"> </w:t>
      </w:r>
      <w:r w:rsidR="00034EC3" w:rsidRPr="000C19F2">
        <w:t xml:space="preserve">must be </w:t>
      </w:r>
      <w:r w:rsidR="007803D0">
        <w:t>university</w:t>
      </w:r>
      <w:r w:rsidR="00034EC3" w:rsidRPr="000C19F2">
        <w:t xml:space="preserve"> entities. </w:t>
      </w:r>
    </w:p>
    <w:p w14:paraId="6EC87D2F" w14:textId="10E6D931" w:rsidR="00034EC3" w:rsidRDefault="00034EC3" w:rsidP="00034EC3">
      <w:pPr>
        <w:pStyle w:val="ListParagraph"/>
        <w:numPr>
          <w:ilvl w:val="0"/>
          <w:numId w:val="12"/>
        </w:numPr>
      </w:pPr>
      <w:r w:rsidRPr="00A47F0A">
        <w:t>All</w:t>
      </w:r>
      <w:r w:rsidR="00885AD6">
        <w:t xml:space="preserve"> </w:t>
      </w:r>
      <w:r w:rsidR="00BC60EB">
        <w:t xml:space="preserve">Service Centers/Core Facilities </w:t>
      </w:r>
      <w:r w:rsidR="00885AD6">
        <w:t xml:space="preserve">must </w:t>
      </w:r>
      <w:r w:rsidRPr="00A47F0A">
        <w:t>use the natural accounts listed on both the debit and credit side of the transactions to record expense</w:t>
      </w:r>
      <w:r w:rsidR="00885AD6">
        <w:t>s</w:t>
      </w:r>
      <w:r w:rsidR="00FE1971">
        <w:t xml:space="preserve"> that are internal</w:t>
      </w:r>
      <w:r w:rsidRPr="00A47F0A">
        <w:t>.</w:t>
      </w:r>
    </w:p>
    <w:p w14:paraId="3384C8A0" w14:textId="466A4577" w:rsidR="00F13C44" w:rsidRPr="00A47F0A" w:rsidRDefault="00F13C44" w:rsidP="00034EC3">
      <w:pPr>
        <w:pStyle w:val="ListParagraph"/>
        <w:numPr>
          <w:ilvl w:val="0"/>
          <w:numId w:val="12"/>
        </w:numPr>
      </w:pPr>
      <w:r>
        <w:t xml:space="preserve">All Service Centers/Core Facilities </w:t>
      </w:r>
      <w:r w:rsidR="006F1B6A">
        <w:t>are a Project only Fund Type 155</w:t>
      </w:r>
      <w:r w:rsidR="00B56FE1">
        <w:t xml:space="preserve"> or 156 (Animal Care only)</w:t>
      </w:r>
      <w:r w:rsidR="006F1B6A">
        <w:t xml:space="preserve">.  </w:t>
      </w:r>
    </w:p>
    <w:p w14:paraId="1C776239" w14:textId="28092C5A" w:rsidR="00034EC3" w:rsidRDefault="00034EC3" w:rsidP="00034EC3">
      <w:pPr>
        <w:pStyle w:val="ListParagraph"/>
        <w:numPr>
          <w:ilvl w:val="0"/>
          <w:numId w:val="20"/>
        </w:numPr>
      </w:pPr>
      <w:r>
        <w:t>Organization</w:t>
      </w:r>
      <w:r w:rsidR="00103523">
        <w:t xml:space="preserve"> code</w:t>
      </w:r>
      <w:r>
        <w:t>, when combined with the Unit and Division</w:t>
      </w:r>
      <w:r w:rsidR="00103523">
        <w:t xml:space="preserve"> codes</w:t>
      </w:r>
      <w:r>
        <w:t xml:space="preserve">, will make a unique UDO that identifies the </w:t>
      </w:r>
      <w:r w:rsidR="00BC60EB">
        <w:t>Service Centers/Core Facilities</w:t>
      </w:r>
      <w:r>
        <w:t xml:space="preserve">. </w:t>
      </w:r>
    </w:p>
    <w:p w14:paraId="7AF7AA3F" w14:textId="00D934DC" w:rsidR="008E7D9E" w:rsidRPr="008E7D9E" w:rsidRDefault="00BD1DED" w:rsidP="008E7D9E">
      <w:r>
        <w:rPr>
          <w:noProof/>
          <w:lang w:eastAsia="en-US"/>
        </w:rPr>
        <w:drawing>
          <wp:inline distT="0" distB="0" distL="0" distR="0" wp14:anchorId="2F5252AC" wp14:editId="3BBEB1BF">
            <wp:extent cx="5943600" cy="15386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38605"/>
                    </a:xfrm>
                    <a:prstGeom prst="rect">
                      <a:avLst/>
                    </a:prstGeom>
                  </pic:spPr>
                </pic:pic>
              </a:graphicData>
            </a:graphic>
          </wp:inline>
        </w:drawing>
      </w:r>
    </w:p>
    <w:p w14:paraId="69B01F7F" w14:textId="0B26C70F" w:rsidR="00410DB6" w:rsidRPr="00017389" w:rsidRDefault="00464E9D" w:rsidP="00410DB6">
      <w:pPr>
        <w:pStyle w:val="Heading2"/>
      </w:pPr>
      <w:bookmarkStart w:id="18" w:name="_Toc528678454"/>
      <w:r>
        <w:t xml:space="preserve">Creating a New Service Center/Core Facility &amp; </w:t>
      </w:r>
      <w:r w:rsidR="00A3766B">
        <w:t>Other Internal Charging Considerations</w:t>
      </w:r>
    </w:p>
    <w:p w14:paraId="7BD7D610" w14:textId="49F14741" w:rsidR="00FF5C81" w:rsidRDefault="00FF5C81" w:rsidP="00410DB6">
      <w:r>
        <w:t>Rutgers is a non-profit organization and must not gen</w:t>
      </w:r>
      <w:r w:rsidR="00A3766B">
        <w:t>erate a profit. Federal and non-</w:t>
      </w:r>
      <w:r>
        <w:t>Federal transactions must be charged the same rates.</w:t>
      </w:r>
    </w:p>
    <w:p w14:paraId="0C6AF911" w14:textId="69D5A6F6" w:rsidR="00FF5C81" w:rsidRDefault="00FF5C81" w:rsidP="00410DB6">
      <w:r>
        <w:t>All rates for internal charging must be reviewed and approved by Cost</w:t>
      </w:r>
      <w:r w:rsidR="004145F0">
        <w:t xml:space="preserve"> Analysis &amp;</w:t>
      </w:r>
      <w:r w:rsidR="00D60807">
        <w:t xml:space="preserve"> Reporting</w:t>
      </w:r>
      <w:r>
        <w:t>.</w:t>
      </w:r>
      <w:r w:rsidR="00464E9D">
        <w:t xml:space="preserve"> </w:t>
      </w:r>
      <w:r w:rsidR="00464E9D" w:rsidRPr="00464E9D">
        <w:t>Rates are reviewed</w:t>
      </w:r>
      <w:r w:rsidR="00464E9D">
        <w:t xml:space="preserve"> bienni</w:t>
      </w:r>
      <w:r w:rsidR="00464E9D" w:rsidRPr="00464E9D">
        <w:t>a</w:t>
      </w:r>
      <w:r w:rsidR="00464E9D">
        <w:t>l</w:t>
      </w:r>
      <w:r w:rsidR="00464E9D" w:rsidRPr="00464E9D">
        <w:t>l</w:t>
      </w:r>
      <w:r w:rsidR="00464E9D">
        <w:t>y (every 2-years)</w:t>
      </w:r>
      <w:r w:rsidR="00464E9D" w:rsidRPr="00464E9D">
        <w:t>.</w:t>
      </w:r>
    </w:p>
    <w:p w14:paraId="09DFC879" w14:textId="0213F3FB" w:rsidR="00A12AD9" w:rsidRDefault="00410DB6" w:rsidP="00410DB6">
      <w:r w:rsidRPr="00A47F0A">
        <w:t xml:space="preserve">All units processing internal charges to other </w:t>
      </w:r>
      <w:r w:rsidR="007803D0">
        <w:t>university</w:t>
      </w:r>
      <w:r w:rsidRPr="00A47F0A">
        <w:t xml:space="preserve"> units for goods and/or services must first </w:t>
      </w:r>
      <w:r>
        <w:t xml:space="preserve">be </w:t>
      </w:r>
      <w:r w:rsidRPr="00A47F0A">
        <w:t>approv</w:t>
      </w:r>
      <w:r>
        <w:t xml:space="preserve">ed </w:t>
      </w:r>
      <w:r w:rsidRPr="00A47F0A">
        <w:t xml:space="preserve">by the </w:t>
      </w:r>
      <w:r w:rsidR="00FF54D6">
        <w:t>UCO</w:t>
      </w:r>
      <w:r w:rsidRPr="00A47F0A">
        <w:t>.</w:t>
      </w:r>
    </w:p>
    <w:p w14:paraId="2D88E3A6" w14:textId="075AABE8" w:rsidR="00A12AD9" w:rsidRDefault="00A12AD9" w:rsidP="00410DB6">
      <w:r>
        <w:t xml:space="preserve">Project request forms </w:t>
      </w:r>
      <w:r w:rsidR="00B54ECB">
        <w:t xml:space="preserve">should be completed </w:t>
      </w:r>
      <w:r w:rsidR="00B56FE1">
        <w:t xml:space="preserve">after </w:t>
      </w:r>
      <w:proofErr w:type="gramStart"/>
      <w:r w:rsidR="00B56FE1">
        <w:t xml:space="preserve">the </w:t>
      </w:r>
      <w:r w:rsidR="00B54ECB">
        <w:t xml:space="preserve"> Service</w:t>
      </w:r>
      <w:proofErr w:type="gramEnd"/>
      <w:r w:rsidR="00B54ECB">
        <w:t xml:space="preserve"> Center/Core Facilit</w:t>
      </w:r>
      <w:r w:rsidR="000807EA">
        <w:t>y</w:t>
      </w:r>
      <w:r w:rsidR="00B56FE1">
        <w:t xml:space="preserve"> has been reviewed &amp; approved</w:t>
      </w:r>
      <w:r w:rsidR="000807EA">
        <w:t xml:space="preserve">.  Forms </w:t>
      </w:r>
      <w:r w:rsidR="00097177">
        <w:t xml:space="preserve">should be returned to </w:t>
      </w:r>
      <w:hyperlink r:id="rId12" w:history="1">
        <w:r w:rsidR="00097177" w:rsidRPr="00FA4407">
          <w:rPr>
            <w:rStyle w:val="Hyperlink"/>
          </w:rPr>
          <w:t>cost@finance.rutgers.edu</w:t>
        </w:r>
      </w:hyperlink>
      <w:r w:rsidR="00097177">
        <w:t xml:space="preserve">.  The forms will </w:t>
      </w:r>
      <w:r w:rsidR="00097177">
        <w:lastRenderedPageBreak/>
        <w:t xml:space="preserve">be reviewed and routed </w:t>
      </w:r>
      <w:r w:rsidR="001B17A2">
        <w:t xml:space="preserve">in DocuSign for electronic signature before submission to the UCO Chart of Accounts team for processing.  </w:t>
      </w:r>
    </w:p>
    <w:p w14:paraId="15CBD46E" w14:textId="565D570C" w:rsidR="00FF5C81" w:rsidRDefault="00FF5C81" w:rsidP="00410DB6">
      <w:r>
        <w:t>For sponsored project (Grants and Awards) – No</w:t>
      </w:r>
      <w:r w:rsidR="00EB155A">
        <w:t xml:space="preserve"> additional</w:t>
      </w:r>
      <w:r>
        <w:t xml:space="preserve"> </w:t>
      </w:r>
      <w:r w:rsidR="002445DC">
        <w:t>a</w:t>
      </w:r>
      <w:r>
        <w:t>dmin</w:t>
      </w:r>
      <w:r w:rsidR="00464E9D">
        <w:t>istrative</w:t>
      </w:r>
      <w:r>
        <w:t xml:space="preserve"> fees</w:t>
      </w:r>
      <w:r w:rsidR="00EB155A">
        <w:t xml:space="preserve"> </w:t>
      </w:r>
      <w:proofErr w:type="gramStart"/>
      <w:r w:rsidR="00EB155A">
        <w:t>allowed</w:t>
      </w:r>
      <w:proofErr w:type="gramEnd"/>
    </w:p>
    <w:p w14:paraId="5CC458CE" w14:textId="0C484E5E" w:rsidR="00A3766B" w:rsidRPr="00A3766B" w:rsidRDefault="00410DB6" w:rsidP="00A3766B">
      <w:r>
        <w:t>To begin the process</w:t>
      </w:r>
      <w:r w:rsidR="005F3D31">
        <w:t xml:space="preserve"> of creating a service center/core facility</w:t>
      </w:r>
      <w:r>
        <w:t xml:space="preserve">, complete the </w:t>
      </w:r>
      <w:r w:rsidR="00A3766B">
        <w:t xml:space="preserve">IPO Supplier </w:t>
      </w:r>
      <w:r w:rsidR="00B01A93">
        <w:t xml:space="preserve">documents found at </w:t>
      </w:r>
      <w:hyperlink r:id="rId13" w:history="1">
        <w:r w:rsidR="00B01A93" w:rsidRPr="00F763DA">
          <w:rPr>
            <w:rStyle w:val="Hyperlink"/>
          </w:rPr>
          <w:t>https://procurementservices.rutgers.edu/resources/forms</w:t>
        </w:r>
      </w:hyperlink>
      <w:r w:rsidR="00B01A93">
        <w:t>.</w:t>
      </w:r>
      <w:r w:rsidR="00464E9D">
        <w:t xml:space="preserve"> </w:t>
      </w:r>
      <w:r w:rsidR="00B01A93">
        <w:t xml:space="preserve"> </w:t>
      </w:r>
      <w:r w:rsidR="00464E9D">
        <w:t>A</w:t>
      </w:r>
      <w:r w:rsidR="00A3766B" w:rsidRPr="00A3766B">
        <w:t>ll</w:t>
      </w:r>
      <w:r w:rsidR="00B01A93">
        <w:t xml:space="preserve"> </w:t>
      </w:r>
      <w:r w:rsidR="00A3766B" w:rsidRPr="00A3766B">
        <w:t xml:space="preserve">documents indicated below </w:t>
      </w:r>
      <w:r w:rsidR="00464E9D">
        <w:t>must be</w:t>
      </w:r>
      <w:r w:rsidR="00A3766B" w:rsidRPr="00A3766B">
        <w:t xml:space="preserve"> completed and submitted </w:t>
      </w:r>
      <w:r w:rsidR="00B01A93">
        <w:t xml:space="preserve">to </w:t>
      </w:r>
      <w:hyperlink r:id="rId14" w:history="1">
        <w:r w:rsidR="00B01A93" w:rsidRPr="00F763DA">
          <w:rPr>
            <w:rStyle w:val="Hyperlink"/>
          </w:rPr>
          <w:t>cost@finance.rutgers.edu</w:t>
        </w:r>
      </w:hyperlink>
      <w:r w:rsidR="00B01A93">
        <w:t xml:space="preserve"> </w:t>
      </w:r>
      <w:r w:rsidR="00A3766B" w:rsidRPr="00A3766B">
        <w:t>for review</w:t>
      </w:r>
      <w:r w:rsidR="00464E9D">
        <w:t xml:space="preserve"> the review process to begin.</w:t>
      </w:r>
      <w:r w:rsidR="00A3766B" w:rsidRPr="00A3766B">
        <w:t xml:space="preserve">  </w:t>
      </w:r>
    </w:p>
    <w:p w14:paraId="738FCAAC" w14:textId="6CC12D21" w:rsidR="00A3766B" w:rsidRPr="00A3766B" w:rsidRDefault="00040BA0" w:rsidP="00A3766B">
      <w:r>
        <w:rPr>
          <w:noProof/>
        </w:rPr>
        <w:drawing>
          <wp:inline distT="0" distB="0" distL="0" distR="0" wp14:anchorId="49ED2D55" wp14:editId="5027D124">
            <wp:extent cx="5943600" cy="2492375"/>
            <wp:effectExtent l="0" t="0" r="0" b="3175"/>
            <wp:docPr id="811626581" name="Picture 1" descr="A close-up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626581" name="Picture 1" descr="A close-up of a message&#10;&#10;Description automatically generated"/>
                    <pic:cNvPicPr/>
                  </pic:nvPicPr>
                  <pic:blipFill>
                    <a:blip r:embed="rId15"/>
                    <a:stretch>
                      <a:fillRect/>
                    </a:stretch>
                  </pic:blipFill>
                  <pic:spPr>
                    <a:xfrm>
                      <a:off x="0" y="0"/>
                      <a:ext cx="5943600" cy="2492375"/>
                    </a:xfrm>
                    <a:prstGeom prst="rect">
                      <a:avLst/>
                    </a:prstGeom>
                  </pic:spPr>
                </pic:pic>
              </a:graphicData>
            </a:graphic>
          </wp:inline>
        </w:drawing>
      </w:r>
    </w:p>
    <w:p w14:paraId="6E5F21A4" w14:textId="12108F00" w:rsidR="00A3766B" w:rsidRPr="00A3766B" w:rsidRDefault="00B01A93" w:rsidP="00A3766B">
      <w:bookmarkStart w:id="19" w:name="_Hlk150073603"/>
      <w:r>
        <w:t>Conversely, academic units can</w:t>
      </w:r>
      <w:r w:rsidR="00EB155A">
        <w:t xml:space="preserve"> instead</w:t>
      </w:r>
      <w:r>
        <w:t xml:space="preserve"> inquire with </w:t>
      </w:r>
      <w:r w:rsidR="002445DC">
        <w:t>t</w:t>
      </w:r>
      <w:r w:rsidR="00464E9D" w:rsidRPr="00464E9D">
        <w:t xml:space="preserve">he Office for Research </w:t>
      </w:r>
      <w:r>
        <w:t xml:space="preserve">at </w:t>
      </w:r>
      <w:hyperlink r:id="rId16" w:history="1">
        <w:r w:rsidR="005F3D31" w:rsidRPr="003C605E">
          <w:rPr>
            <w:rStyle w:val="Hyperlink"/>
          </w:rPr>
          <w:t>cores@research.rutgers.edu</w:t>
        </w:r>
      </w:hyperlink>
      <w:r>
        <w:t xml:space="preserve"> to begin the initial core facility</w:t>
      </w:r>
      <w:r w:rsidR="00464E9D">
        <w:t xml:space="preserve"> process</w:t>
      </w:r>
      <w:r w:rsidR="002445DC">
        <w:t xml:space="preserve"> or find more information at </w:t>
      </w:r>
      <w:hyperlink r:id="rId17" w:history="1">
        <w:r w:rsidR="002445DC" w:rsidRPr="002445DC">
          <w:rPr>
            <w:rStyle w:val="Hyperlink"/>
          </w:rPr>
          <w:t>Become a Core Facility</w:t>
        </w:r>
      </w:hyperlink>
      <w:r w:rsidR="00464E9D">
        <w:t>.</w:t>
      </w:r>
    </w:p>
    <w:p w14:paraId="7F34F7E0" w14:textId="0DD59FA5" w:rsidR="001945F7" w:rsidRPr="001945F7" w:rsidRDefault="001945F7" w:rsidP="00A47F0A">
      <w:pPr>
        <w:pStyle w:val="Heading2"/>
      </w:pPr>
      <w:bookmarkStart w:id="20" w:name="_Toc528678503"/>
      <w:bookmarkStart w:id="21" w:name="_Toc5116506"/>
      <w:bookmarkEnd w:id="18"/>
      <w:bookmarkEnd w:id="19"/>
      <w:r>
        <w:t xml:space="preserve">Contact </w:t>
      </w:r>
      <w:r w:rsidR="00466DF4">
        <w:t>for Questions</w:t>
      </w:r>
      <w:bookmarkEnd w:id="20"/>
      <w:bookmarkEnd w:id="21"/>
    </w:p>
    <w:p w14:paraId="7A7DE8D8" w14:textId="13EA38DC" w:rsidR="00F709C5" w:rsidRPr="00990ED9" w:rsidRDefault="00C726C9" w:rsidP="00B01A93">
      <w:r w:rsidRPr="00C726C9">
        <w:t xml:space="preserve">Please send inquiries or questions regarding </w:t>
      </w:r>
      <w:r w:rsidR="00B01A93">
        <w:t xml:space="preserve">Service Centers/Core Facilities </w:t>
      </w:r>
      <w:r w:rsidR="00B01A93" w:rsidRPr="00B01A93">
        <w:t xml:space="preserve">to </w:t>
      </w:r>
      <w:hyperlink r:id="rId18" w:history="1">
        <w:r w:rsidR="00B01A93" w:rsidRPr="00F763DA">
          <w:rPr>
            <w:rStyle w:val="Hyperlink"/>
          </w:rPr>
          <w:t>cost@finance.rutgers.edu</w:t>
        </w:r>
      </w:hyperlink>
      <w:r w:rsidR="00B01A93">
        <w:t xml:space="preserve"> </w:t>
      </w:r>
      <w:r w:rsidR="00B01A93" w:rsidRPr="00B01A93">
        <w:t xml:space="preserve">and/or </w:t>
      </w:r>
      <w:hyperlink r:id="rId19" w:history="1">
        <w:r w:rsidR="00085750">
          <w:rPr>
            <w:rStyle w:val="Hyperlink"/>
          </w:rPr>
          <w:t>cores@research.rutgers.edu</w:t>
        </w:r>
      </w:hyperlink>
      <w:r w:rsidR="00B01A93" w:rsidRPr="00B01A93">
        <w:t>.</w:t>
      </w:r>
      <w:r w:rsidR="00B01A93">
        <w:t xml:space="preserve"> </w:t>
      </w:r>
    </w:p>
    <w:p w14:paraId="2C33093A" w14:textId="5E36E2B5" w:rsidR="00B01A93" w:rsidRDefault="00B01A93" w:rsidP="00B01A93">
      <w:pPr>
        <w:spacing w:after="180"/>
      </w:pPr>
    </w:p>
    <w:p w14:paraId="783AB82E" w14:textId="77777777" w:rsidR="00B01A93" w:rsidRPr="00B01A93" w:rsidRDefault="00B01A93" w:rsidP="00B01A93"/>
    <w:p w14:paraId="6C205218" w14:textId="77777777" w:rsidR="00B01A93" w:rsidRPr="00B01A93" w:rsidRDefault="00B01A93" w:rsidP="00B01A93"/>
    <w:p w14:paraId="7AA41D7B" w14:textId="7FB8B5B8" w:rsidR="00EE7460" w:rsidRPr="00B01A93" w:rsidRDefault="00EE7460" w:rsidP="00B01A93"/>
    <w:sectPr w:rsidR="00EE7460" w:rsidRPr="00B01A93" w:rsidSect="00E14F85">
      <w:headerReference w:type="even" r:id="rId20"/>
      <w:headerReference w:type="default" r:id="rId21"/>
      <w:footerReference w:type="even" r:id="rId22"/>
      <w:footerReference w:type="default" r:id="rId2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0C00" w14:textId="77777777" w:rsidR="005E6F73" w:rsidRDefault="005E6F73">
      <w:pPr>
        <w:spacing w:after="0" w:line="240" w:lineRule="auto"/>
      </w:pPr>
      <w:r>
        <w:separator/>
      </w:r>
    </w:p>
    <w:p w14:paraId="6E3E2953" w14:textId="77777777" w:rsidR="005E6F73" w:rsidRDefault="005E6F73"/>
  </w:endnote>
  <w:endnote w:type="continuationSeparator" w:id="0">
    <w:p w14:paraId="40E67A04" w14:textId="77777777" w:rsidR="005E6F73" w:rsidRDefault="005E6F73">
      <w:pPr>
        <w:spacing w:after="0" w:line="240" w:lineRule="auto"/>
      </w:pPr>
      <w:r>
        <w:continuationSeparator/>
      </w:r>
    </w:p>
    <w:p w14:paraId="64E3CECE" w14:textId="77777777" w:rsidR="005E6F73" w:rsidRDefault="005E6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057B" w14:textId="77777777" w:rsidR="002C64BD" w:rsidRDefault="002C64BD">
    <w:pPr>
      <w:pStyle w:val="Footer"/>
    </w:pPr>
  </w:p>
  <w:p w14:paraId="2D72F27D" w14:textId="77777777" w:rsidR="009B1A4F" w:rsidRDefault="009B1A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040D" w14:textId="3C819FFA" w:rsidR="002C64BD" w:rsidRPr="007A3664" w:rsidRDefault="00550172">
    <w:pPr>
      <w:pStyle w:val="Footer"/>
      <w:rPr>
        <w:rFonts w:ascii="Calibri Light" w:hAnsi="Calibri Light"/>
      </w:rPr>
    </w:pPr>
    <w:r>
      <w:rPr>
        <w:rFonts w:ascii="Calibri Light" w:hAnsi="Calibri Light"/>
        <w:lang w:eastAsia="en-US"/>
      </w:rPr>
      <mc:AlternateContent>
        <mc:Choice Requires="wps">
          <w:drawing>
            <wp:anchor distT="0" distB="0" distL="114300" distR="114300" simplePos="0" relativeHeight="251658240" behindDoc="0" locked="0" layoutInCell="1" allowOverlap="1" wp14:anchorId="257D3508" wp14:editId="4F68376B">
              <wp:simplePos x="0" y="0"/>
              <wp:positionH relativeFrom="column">
                <wp:posOffset>-172085</wp:posOffset>
              </wp:positionH>
              <wp:positionV relativeFrom="paragraph">
                <wp:posOffset>80070</wp:posOffset>
              </wp:positionV>
              <wp:extent cx="6357368" cy="0"/>
              <wp:effectExtent l="0" t="0" r="24765" b="19050"/>
              <wp:wrapNone/>
              <wp:docPr id="2" name="Straight Connector 2"/>
              <wp:cNvGraphicFramePr/>
              <a:graphic xmlns:a="http://schemas.openxmlformats.org/drawingml/2006/main">
                <a:graphicData uri="http://schemas.microsoft.com/office/word/2010/wordprocessingShape">
                  <wps:wsp>
                    <wps:cNvCnPr/>
                    <wps:spPr>
                      <a:xfrm flipV="1">
                        <a:off x="0" y="0"/>
                        <a:ext cx="63573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F6D0E43"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6.3pt" to="48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" strokecolor="#5b9bd5 [3204]" strokeweight=".5pt">
              <v:stroke joinstyle="miter"/>
            </v:line>
          </w:pict>
        </mc:Fallback>
      </mc:AlternateContent>
    </w:r>
    <w:r w:rsidR="007A3664">
      <w:rPr>
        <w:rFonts w:ascii="Calibri Light" w:hAnsi="Calibri Light"/>
      </w:rPr>
      <w:t>©</w:t>
    </w:r>
    <w:r w:rsidR="007A3664" w:rsidRPr="00550172">
      <w:rPr>
        <w:rFonts w:ascii="Calibri Light" w:hAnsi="Calibri Light"/>
        <w:b/>
      </w:rPr>
      <w:t>20</w:t>
    </w:r>
    <w:r w:rsidR="00B01A93">
      <w:rPr>
        <w:rFonts w:ascii="Calibri Light" w:hAnsi="Calibri Light"/>
        <w:b/>
      </w:rPr>
      <w:t>2</w:t>
    </w:r>
    <w:r w:rsidR="00144734">
      <w:rPr>
        <w:rFonts w:ascii="Calibri Light" w:hAnsi="Calibri Light"/>
        <w:b/>
      </w:rPr>
      <w:t>3</w:t>
    </w:r>
    <w:r w:rsidR="007A3664" w:rsidRPr="00550172">
      <w:rPr>
        <w:rFonts w:ascii="Calibri Light" w:hAnsi="Calibri Light"/>
        <w:b/>
      </w:rPr>
      <w:ptab w:relativeTo="margin" w:alignment="center" w:leader="none"/>
    </w:r>
    <w:r w:rsidR="007A3664" w:rsidRPr="00550172">
      <w:rPr>
        <w:rFonts w:ascii="Calibri Light" w:hAnsi="Calibri Light"/>
        <w:b/>
      </w:rPr>
      <w:t>Office of the University Controller</w:t>
    </w:r>
    <w:r w:rsidR="007A3664" w:rsidRPr="00550172">
      <w:rPr>
        <w:rFonts w:ascii="Calibri Light" w:hAnsi="Calibri Light"/>
        <w:b/>
      </w:rPr>
      <w:ptab w:relativeTo="margin" w:alignment="right" w:leader="none"/>
    </w:r>
    <w:r w:rsidR="007A3664" w:rsidRPr="00550172">
      <w:rPr>
        <w:rFonts w:ascii="Calibri Light" w:hAnsi="Calibri Light"/>
        <w:b/>
        <w:noProof w:val="0"/>
      </w:rPr>
      <w:fldChar w:fldCharType="begin"/>
    </w:r>
    <w:r w:rsidR="007A3664" w:rsidRPr="00550172">
      <w:rPr>
        <w:rFonts w:ascii="Calibri Light" w:hAnsi="Calibri Light"/>
        <w:b/>
      </w:rPr>
      <w:instrText xml:space="preserve"> PAGE   \* MERGEFORMAT </w:instrText>
    </w:r>
    <w:r w:rsidR="007A3664" w:rsidRPr="00550172">
      <w:rPr>
        <w:rFonts w:ascii="Calibri Light" w:hAnsi="Calibri Light"/>
        <w:b/>
        <w:noProof w:val="0"/>
      </w:rPr>
      <w:fldChar w:fldCharType="separate"/>
    </w:r>
    <w:r w:rsidR="001E5A42">
      <w:rPr>
        <w:rFonts w:ascii="Calibri Light" w:hAnsi="Calibri Light"/>
        <w:b/>
      </w:rPr>
      <w:t>1</w:t>
    </w:r>
    <w:r w:rsidR="007A3664" w:rsidRPr="00550172">
      <w:rPr>
        <w:rFonts w:ascii="Calibri Light" w:hAnsi="Calibri Light"/>
        <w:b/>
      </w:rPr>
      <w:fldChar w:fldCharType="end"/>
    </w:r>
  </w:p>
  <w:p w14:paraId="40803194" w14:textId="77777777" w:rsidR="009B1A4F" w:rsidRDefault="009B1A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0FD2" w14:textId="77777777" w:rsidR="005E6F73" w:rsidRDefault="005E6F73">
      <w:pPr>
        <w:spacing w:after="0" w:line="240" w:lineRule="auto"/>
      </w:pPr>
      <w:r>
        <w:separator/>
      </w:r>
    </w:p>
    <w:p w14:paraId="6D0BCDD1" w14:textId="77777777" w:rsidR="005E6F73" w:rsidRDefault="005E6F73"/>
  </w:footnote>
  <w:footnote w:type="continuationSeparator" w:id="0">
    <w:p w14:paraId="5522AC40" w14:textId="77777777" w:rsidR="005E6F73" w:rsidRDefault="005E6F73">
      <w:pPr>
        <w:spacing w:after="0" w:line="240" w:lineRule="auto"/>
      </w:pPr>
      <w:r>
        <w:continuationSeparator/>
      </w:r>
    </w:p>
    <w:p w14:paraId="2E36F495" w14:textId="77777777" w:rsidR="005E6F73" w:rsidRDefault="005E6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1A55" w14:textId="77777777" w:rsidR="002C64BD" w:rsidRDefault="002C64BD">
    <w:pPr>
      <w:pStyle w:val="Header"/>
    </w:pPr>
  </w:p>
  <w:p w14:paraId="6AE40E7C" w14:textId="77777777" w:rsidR="009B1A4F" w:rsidRDefault="009B1A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1630" w14:textId="227A2C56" w:rsidR="0012259A" w:rsidRDefault="00B454E2">
    <w:r>
      <w:rPr>
        <w:noProof/>
        <w:lang w:eastAsia="en-US"/>
      </w:rPr>
      <w:drawing>
        <wp:anchor distT="0" distB="0" distL="114300" distR="114300" simplePos="0" relativeHeight="251657216" behindDoc="1" locked="0" layoutInCell="1" allowOverlap="1" wp14:anchorId="2E3055DC" wp14:editId="61E263BD">
          <wp:simplePos x="0" y="0"/>
          <wp:positionH relativeFrom="margin">
            <wp:posOffset>4209690</wp:posOffset>
          </wp:positionH>
          <wp:positionV relativeFrom="paragraph">
            <wp:posOffset>-198168</wp:posOffset>
          </wp:positionV>
          <wp:extent cx="1570008" cy="4661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_SHIELD_SIG_ST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008" cy="4661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10"/>
    <w:multiLevelType w:val="hybridMultilevel"/>
    <w:tmpl w:val="21F03EFC"/>
    <w:lvl w:ilvl="0" w:tplc="B47EE62E">
      <w:start w:val="1"/>
      <w:numFmt w:val="upperLetter"/>
      <w:pStyle w:val="AppendixHeading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582D"/>
    <w:multiLevelType w:val="multilevel"/>
    <w:tmpl w:val="0784CBCE"/>
    <w:lvl w:ilvl="0">
      <w:start w:val="1"/>
      <w:numFmt w:val="decimal"/>
      <w:lvlText w:val="%1"/>
      <w:lvlJc w:val="left"/>
      <w:pPr>
        <w:ind w:left="7182" w:hanging="432"/>
      </w:pPr>
      <w:rPr>
        <w:rFonts w:hint="default"/>
      </w:rPr>
    </w:lvl>
    <w:lvl w:ilvl="1">
      <w:start w:val="1"/>
      <w:numFmt w:val="decimal"/>
      <w:lvlText w:val="%1.%2"/>
      <w:lvlJc w:val="left"/>
      <w:pPr>
        <w:ind w:left="7326" w:hanging="576"/>
      </w:pPr>
    </w:lvl>
    <w:lvl w:ilvl="2">
      <w:start w:val="1"/>
      <w:numFmt w:val="decimal"/>
      <w:pStyle w:val="Heading3"/>
      <w:lvlText w:val="%1.%2.%3"/>
      <w:lvlJc w:val="left"/>
      <w:pPr>
        <w:ind w:left="7470" w:hanging="720"/>
      </w:pPr>
    </w:lvl>
    <w:lvl w:ilvl="3">
      <w:start w:val="1"/>
      <w:numFmt w:val="decimal"/>
      <w:pStyle w:val="Heading4"/>
      <w:lvlText w:val="%1.%2.%3.%4"/>
      <w:lvlJc w:val="left"/>
      <w:pPr>
        <w:ind w:left="7614" w:hanging="864"/>
      </w:pPr>
    </w:lvl>
    <w:lvl w:ilvl="4">
      <w:start w:val="1"/>
      <w:numFmt w:val="decimal"/>
      <w:pStyle w:val="Heading5"/>
      <w:lvlText w:val="%1.%2.%3.%4.%5"/>
      <w:lvlJc w:val="left"/>
      <w:pPr>
        <w:ind w:left="7758" w:hanging="1008"/>
      </w:pPr>
    </w:lvl>
    <w:lvl w:ilvl="5">
      <w:start w:val="1"/>
      <w:numFmt w:val="decimal"/>
      <w:pStyle w:val="Heading6"/>
      <w:lvlText w:val="%1.%2.%3.%4.%5.%6"/>
      <w:lvlJc w:val="left"/>
      <w:pPr>
        <w:ind w:left="7902" w:hanging="1152"/>
      </w:pPr>
    </w:lvl>
    <w:lvl w:ilvl="6">
      <w:start w:val="1"/>
      <w:numFmt w:val="decimal"/>
      <w:pStyle w:val="Heading7"/>
      <w:lvlText w:val="%1.%2.%3.%4.%5.%6.%7"/>
      <w:lvlJc w:val="left"/>
      <w:pPr>
        <w:ind w:left="8046" w:hanging="1296"/>
      </w:pPr>
    </w:lvl>
    <w:lvl w:ilvl="7">
      <w:start w:val="1"/>
      <w:numFmt w:val="decimal"/>
      <w:pStyle w:val="Heading8"/>
      <w:lvlText w:val="%1.%2.%3.%4.%5.%6.%7.%8"/>
      <w:lvlJc w:val="left"/>
      <w:pPr>
        <w:ind w:left="8190" w:hanging="1440"/>
      </w:pPr>
    </w:lvl>
    <w:lvl w:ilvl="8">
      <w:start w:val="1"/>
      <w:numFmt w:val="decimal"/>
      <w:pStyle w:val="Heading9"/>
      <w:lvlText w:val="%1.%2.%3.%4.%5.%6.%7.%8.%9"/>
      <w:lvlJc w:val="left"/>
      <w:pPr>
        <w:ind w:left="8334" w:hanging="1584"/>
      </w:pPr>
    </w:lvl>
  </w:abstractNum>
  <w:abstractNum w:abstractNumId="2" w15:restartNumberingAfterBreak="0">
    <w:nsid w:val="08375863"/>
    <w:multiLevelType w:val="hybridMultilevel"/>
    <w:tmpl w:val="07301460"/>
    <w:lvl w:ilvl="0" w:tplc="2D4AF164">
      <w:start w:val="1"/>
      <w:numFmt w:val="decimal"/>
      <w:pStyle w:val="Heading2"/>
      <w:lvlText w:val="%1."/>
      <w:lvlJc w:val="left"/>
      <w:pPr>
        <w:ind w:left="70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31372"/>
    <w:multiLevelType w:val="hybridMultilevel"/>
    <w:tmpl w:val="4A680888"/>
    <w:lvl w:ilvl="0" w:tplc="9B86DD9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84947"/>
    <w:multiLevelType w:val="hybridMultilevel"/>
    <w:tmpl w:val="C27C9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08214E"/>
    <w:multiLevelType w:val="hybridMultilevel"/>
    <w:tmpl w:val="A7D6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97DC3"/>
    <w:multiLevelType w:val="hybridMultilevel"/>
    <w:tmpl w:val="D4AE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74642"/>
    <w:multiLevelType w:val="hybridMultilevel"/>
    <w:tmpl w:val="2900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E60B8"/>
    <w:multiLevelType w:val="hybridMultilevel"/>
    <w:tmpl w:val="3B06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5701B"/>
    <w:multiLevelType w:val="hybridMultilevel"/>
    <w:tmpl w:val="012A17AC"/>
    <w:lvl w:ilvl="0" w:tplc="8CCE35E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B5E11"/>
    <w:multiLevelType w:val="hybridMultilevel"/>
    <w:tmpl w:val="E5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F2F84"/>
    <w:multiLevelType w:val="hybridMultilevel"/>
    <w:tmpl w:val="C9869D82"/>
    <w:lvl w:ilvl="0" w:tplc="04090001">
      <w:start w:val="1"/>
      <w:numFmt w:val="bullet"/>
      <w:lvlText w:val=""/>
      <w:lvlJc w:val="left"/>
      <w:pPr>
        <w:ind w:left="720" w:hanging="360"/>
      </w:pPr>
      <w:rPr>
        <w:rFonts w:ascii="Symbol" w:hAnsi="Symbol" w:hint="default"/>
      </w:rPr>
    </w:lvl>
    <w:lvl w:ilvl="1" w:tplc="09AED36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B91"/>
    <w:multiLevelType w:val="hybridMultilevel"/>
    <w:tmpl w:val="9BD2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279CB"/>
    <w:multiLevelType w:val="hybridMultilevel"/>
    <w:tmpl w:val="3E80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D733B"/>
    <w:multiLevelType w:val="hybridMultilevel"/>
    <w:tmpl w:val="D38ADDBC"/>
    <w:lvl w:ilvl="0" w:tplc="073C0B3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87F24"/>
    <w:multiLevelType w:val="hybridMultilevel"/>
    <w:tmpl w:val="DDC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258FD"/>
    <w:multiLevelType w:val="hybridMultilevel"/>
    <w:tmpl w:val="FCCC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F5803"/>
    <w:multiLevelType w:val="hybridMultilevel"/>
    <w:tmpl w:val="6268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5229F"/>
    <w:multiLevelType w:val="hybridMultilevel"/>
    <w:tmpl w:val="DA10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E7FD2"/>
    <w:multiLevelType w:val="hybridMultilevel"/>
    <w:tmpl w:val="E96C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562463">
    <w:abstractNumId w:val="14"/>
  </w:num>
  <w:num w:numId="2" w16cid:durableId="153112508">
    <w:abstractNumId w:val="1"/>
  </w:num>
  <w:num w:numId="3" w16cid:durableId="58094141">
    <w:abstractNumId w:val="17"/>
  </w:num>
  <w:num w:numId="4" w16cid:durableId="1015040794">
    <w:abstractNumId w:val="6"/>
  </w:num>
  <w:num w:numId="5" w16cid:durableId="1437166700">
    <w:abstractNumId w:val="18"/>
  </w:num>
  <w:num w:numId="6" w16cid:durableId="2127581543">
    <w:abstractNumId w:val="13"/>
  </w:num>
  <w:num w:numId="7" w16cid:durableId="564265698">
    <w:abstractNumId w:val="12"/>
  </w:num>
  <w:num w:numId="8" w16cid:durableId="2118480865">
    <w:abstractNumId w:val="15"/>
  </w:num>
  <w:num w:numId="9" w16cid:durableId="2110461620">
    <w:abstractNumId w:val="3"/>
  </w:num>
  <w:num w:numId="10" w16cid:durableId="1092513838">
    <w:abstractNumId w:val="2"/>
  </w:num>
  <w:num w:numId="11" w16cid:durableId="1582249724">
    <w:abstractNumId w:val="11"/>
  </w:num>
  <w:num w:numId="12" w16cid:durableId="283343988">
    <w:abstractNumId w:val="19"/>
  </w:num>
  <w:num w:numId="13" w16cid:durableId="920216552">
    <w:abstractNumId w:val="16"/>
  </w:num>
  <w:num w:numId="14" w16cid:durableId="427965504">
    <w:abstractNumId w:val="8"/>
  </w:num>
  <w:num w:numId="15" w16cid:durableId="1849523200">
    <w:abstractNumId w:val="5"/>
  </w:num>
  <w:num w:numId="16" w16cid:durableId="957954289">
    <w:abstractNumId w:val="10"/>
  </w:num>
  <w:num w:numId="17" w16cid:durableId="143856286">
    <w:abstractNumId w:val="4"/>
  </w:num>
  <w:num w:numId="18" w16cid:durableId="140927468">
    <w:abstractNumId w:val="9"/>
  </w:num>
  <w:num w:numId="19" w16cid:durableId="487866999">
    <w:abstractNumId w:val="9"/>
    <w:lvlOverride w:ilvl="0">
      <w:startOverride w:val="1"/>
    </w:lvlOverride>
  </w:num>
  <w:num w:numId="20" w16cid:durableId="1083910864">
    <w:abstractNumId w:val="7"/>
  </w:num>
  <w:num w:numId="21" w16cid:durableId="1801726506">
    <w:abstractNumId w:val="20"/>
  </w:num>
  <w:num w:numId="22" w16cid:durableId="17185078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BD"/>
    <w:rsid w:val="00003463"/>
    <w:rsid w:val="00011D52"/>
    <w:rsid w:val="00014B0B"/>
    <w:rsid w:val="00017389"/>
    <w:rsid w:val="00020D87"/>
    <w:rsid w:val="00023B6D"/>
    <w:rsid w:val="000264C6"/>
    <w:rsid w:val="000264CD"/>
    <w:rsid w:val="00027C31"/>
    <w:rsid w:val="00027CF2"/>
    <w:rsid w:val="00033E61"/>
    <w:rsid w:val="00034EC3"/>
    <w:rsid w:val="00040BA0"/>
    <w:rsid w:val="00065DFA"/>
    <w:rsid w:val="00071E32"/>
    <w:rsid w:val="000807EA"/>
    <w:rsid w:val="00085750"/>
    <w:rsid w:val="0009397E"/>
    <w:rsid w:val="00097177"/>
    <w:rsid w:val="000A0494"/>
    <w:rsid w:val="000A50DB"/>
    <w:rsid w:val="000A5AE2"/>
    <w:rsid w:val="000A65E9"/>
    <w:rsid w:val="000C09F4"/>
    <w:rsid w:val="00103523"/>
    <w:rsid w:val="0012259A"/>
    <w:rsid w:val="00144734"/>
    <w:rsid w:val="0015030F"/>
    <w:rsid w:val="001564F6"/>
    <w:rsid w:val="00161406"/>
    <w:rsid w:val="00161814"/>
    <w:rsid w:val="00172DC0"/>
    <w:rsid w:val="00182E67"/>
    <w:rsid w:val="00192937"/>
    <w:rsid w:val="00194075"/>
    <w:rsid w:val="00194405"/>
    <w:rsid w:val="001945F7"/>
    <w:rsid w:val="001A51AD"/>
    <w:rsid w:val="001A51E8"/>
    <w:rsid w:val="001B17A2"/>
    <w:rsid w:val="001B2914"/>
    <w:rsid w:val="001B470D"/>
    <w:rsid w:val="001C774A"/>
    <w:rsid w:val="001D4327"/>
    <w:rsid w:val="001D7F93"/>
    <w:rsid w:val="001E5A42"/>
    <w:rsid w:val="00225A86"/>
    <w:rsid w:val="00230545"/>
    <w:rsid w:val="00236901"/>
    <w:rsid w:val="0024194A"/>
    <w:rsid w:val="002445DC"/>
    <w:rsid w:val="00245772"/>
    <w:rsid w:val="00264D8B"/>
    <w:rsid w:val="00272691"/>
    <w:rsid w:val="0027515F"/>
    <w:rsid w:val="00280B29"/>
    <w:rsid w:val="00287540"/>
    <w:rsid w:val="002A1274"/>
    <w:rsid w:val="002A4DA2"/>
    <w:rsid w:val="002B3211"/>
    <w:rsid w:val="002C01CE"/>
    <w:rsid w:val="002C5D4A"/>
    <w:rsid w:val="002C64BD"/>
    <w:rsid w:val="002C7E26"/>
    <w:rsid w:val="002D0F07"/>
    <w:rsid w:val="002D41E9"/>
    <w:rsid w:val="002D6ABF"/>
    <w:rsid w:val="002F5C7C"/>
    <w:rsid w:val="0032210C"/>
    <w:rsid w:val="003226E6"/>
    <w:rsid w:val="003330EE"/>
    <w:rsid w:val="003343B4"/>
    <w:rsid w:val="00337DAA"/>
    <w:rsid w:val="0034376C"/>
    <w:rsid w:val="003635F6"/>
    <w:rsid w:val="00371A7E"/>
    <w:rsid w:val="003945B6"/>
    <w:rsid w:val="003A1529"/>
    <w:rsid w:val="003A1BC0"/>
    <w:rsid w:val="003A53C3"/>
    <w:rsid w:val="003B0E99"/>
    <w:rsid w:val="003C3BE6"/>
    <w:rsid w:val="003C4E1D"/>
    <w:rsid w:val="003D5401"/>
    <w:rsid w:val="003D6DE5"/>
    <w:rsid w:val="003F0EE5"/>
    <w:rsid w:val="00404AC0"/>
    <w:rsid w:val="00410CCD"/>
    <w:rsid w:val="00410DB6"/>
    <w:rsid w:val="00411159"/>
    <w:rsid w:val="004145F0"/>
    <w:rsid w:val="00417B08"/>
    <w:rsid w:val="00430E6C"/>
    <w:rsid w:val="00431075"/>
    <w:rsid w:val="00440095"/>
    <w:rsid w:val="0044115C"/>
    <w:rsid w:val="00441458"/>
    <w:rsid w:val="0044299D"/>
    <w:rsid w:val="004519CB"/>
    <w:rsid w:val="00451C65"/>
    <w:rsid w:val="00451DFA"/>
    <w:rsid w:val="00464E9D"/>
    <w:rsid w:val="00466DF4"/>
    <w:rsid w:val="00472B51"/>
    <w:rsid w:val="004948D3"/>
    <w:rsid w:val="004A2735"/>
    <w:rsid w:val="004A5EF3"/>
    <w:rsid w:val="004A72A9"/>
    <w:rsid w:val="004C3FFF"/>
    <w:rsid w:val="004D0EB3"/>
    <w:rsid w:val="004D2C41"/>
    <w:rsid w:val="004D5EF7"/>
    <w:rsid w:val="004F3406"/>
    <w:rsid w:val="004F47FE"/>
    <w:rsid w:val="00500A28"/>
    <w:rsid w:val="005051D1"/>
    <w:rsid w:val="005166CD"/>
    <w:rsid w:val="00517F51"/>
    <w:rsid w:val="00527DDF"/>
    <w:rsid w:val="00531259"/>
    <w:rsid w:val="0054155E"/>
    <w:rsid w:val="005423A9"/>
    <w:rsid w:val="00550172"/>
    <w:rsid w:val="00565449"/>
    <w:rsid w:val="005707D8"/>
    <w:rsid w:val="0057218F"/>
    <w:rsid w:val="005911D9"/>
    <w:rsid w:val="00596636"/>
    <w:rsid w:val="005A086D"/>
    <w:rsid w:val="005A3CF5"/>
    <w:rsid w:val="005A3D3D"/>
    <w:rsid w:val="005A46F1"/>
    <w:rsid w:val="005B7862"/>
    <w:rsid w:val="005C5398"/>
    <w:rsid w:val="005D0D5C"/>
    <w:rsid w:val="005D39AE"/>
    <w:rsid w:val="005E6F73"/>
    <w:rsid w:val="005F1559"/>
    <w:rsid w:val="005F1784"/>
    <w:rsid w:val="005F258D"/>
    <w:rsid w:val="005F3D31"/>
    <w:rsid w:val="00602072"/>
    <w:rsid w:val="006042A0"/>
    <w:rsid w:val="006046C9"/>
    <w:rsid w:val="00604D5D"/>
    <w:rsid w:val="00605ED7"/>
    <w:rsid w:val="00622900"/>
    <w:rsid w:val="00635209"/>
    <w:rsid w:val="006414BA"/>
    <w:rsid w:val="00645FBD"/>
    <w:rsid w:val="00660FE8"/>
    <w:rsid w:val="006723DF"/>
    <w:rsid w:val="006B2510"/>
    <w:rsid w:val="006C426F"/>
    <w:rsid w:val="006D5192"/>
    <w:rsid w:val="006E2551"/>
    <w:rsid w:val="006F1B6A"/>
    <w:rsid w:val="006F3B3A"/>
    <w:rsid w:val="0072265E"/>
    <w:rsid w:val="00727249"/>
    <w:rsid w:val="00740A16"/>
    <w:rsid w:val="007803D0"/>
    <w:rsid w:val="00793D93"/>
    <w:rsid w:val="007A3664"/>
    <w:rsid w:val="007A761E"/>
    <w:rsid w:val="007B297E"/>
    <w:rsid w:val="007B5C20"/>
    <w:rsid w:val="007C2562"/>
    <w:rsid w:val="007C266F"/>
    <w:rsid w:val="007D31F9"/>
    <w:rsid w:val="007D4C1A"/>
    <w:rsid w:val="007D6436"/>
    <w:rsid w:val="00812B6C"/>
    <w:rsid w:val="00815C3F"/>
    <w:rsid w:val="008244B4"/>
    <w:rsid w:val="008311FF"/>
    <w:rsid w:val="00840671"/>
    <w:rsid w:val="008459A5"/>
    <w:rsid w:val="008475E0"/>
    <w:rsid w:val="00853BEF"/>
    <w:rsid w:val="00861B2F"/>
    <w:rsid w:val="00885AD6"/>
    <w:rsid w:val="00886480"/>
    <w:rsid w:val="008903FF"/>
    <w:rsid w:val="008B44F4"/>
    <w:rsid w:val="008D10F4"/>
    <w:rsid w:val="008E7D9E"/>
    <w:rsid w:val="00900B2C"/>
    <w:rsid w:val="0090432F"/>
    <w:rsid w:val="00923E9C"/>
    <w:rsid w:val="0092498E"/>
    <w:rsid w:val="00926F01"/>
    <w:rsid w:val="00966C7F"/>
    <w:rsid w:val="00972F78"/>
    <w:rsid w:val="009748C5"/>
    <w:rsid w:val="009773A7"/>
    <w:rsid w:val="00992A6B"/>
    <w:rsid w:val="009A54B0"/>
    <w:rsid w:val="009B1A4F"/>
    <w:rsid w:val="009B43F3"/>
    <w:rsid w:val="009B5AC3"/>
    <w:rsid w:val="009B7E71"/>
    <w:rsid w:val="009D5F46"/>
    <w:rsid w:val="009D6682"/>
    <w:rsid w:val="009D78EE"/>
    <w:rsid w:val="009E0217"/>
    <w:rsid w:val="00A02FBE"/>
    <w:rsid w:val="00A12AD9"/>
    <w:rsid w:val="00A15934"/>
    <w:rsid w:val="00A17968"/>
    <w:rsid w:val="00A234AE"/>
    <w:rsid w:val="00A25115"/>
    <w:rsid w:val="00A3766B"/>
    <w:rsid w:val="00A47F0A"/>
    <w:rsid w:val="00A5012E"/>
    <w:rsid w:val="00A51557"/>
    <w:rsid w:val="00A52F48"/>
    <w:rsid w:val="00A61A5A"/>
    <w:rsid w:val="00A62C21"/>
    <w:rsid w:val="00A83309"/>
    <w:rsid w:val="00A8398A"/>
    <w:rsid w:val="00A86158"/>
    <w:rsid w:val="00AA0CA4"/>
    <w:rsid w:val="00AA178E"/>
    <w:rsid w:val="00AB0763"/>
    <w:rsid w:val="00AC378A"/>
    <w:rsid w:val="00AD6C62"/>
    <w:rsid w:val="00AE04D5"/>
    <w:rsid w:val="00AE26D9"/>
    <w:rsid w:val="00B01A93"/>
    <w:rsid w:val="00B207B1"/>
    <w:rsid w:val="00B427C7"/>
    <w:rsid w:val="00B44DB6"/>
    <w:rsid w:val="00B45151"/>
    <w:rsid w:val="00B454E2"/>
    <w:rsid w:val="00B509B7"/>
    <w:rsid w:val="00B54ECB"/>
    <w:rsid w:val="00B56FE1"/>
    <w:rsid w:val="00B66F74"/>
    <w:rsid w:val="00B70051"/>
    <w:rsid w:val="00B8237F"/>
    <w:rsid w:val="00B977F5"/>
    <w:rsid w:val="00BA3485"/>
    <w:rsid w:val="00BB5AFD"/>
    <w:rsid w:val="00BC60EB"/>
    <w:rsid w:val="00BC6EB9"/>
    <w:rsid w:val="00BD1DED"/>
    <w:rsid w:val="00BD25A6"/>
    <w:rsid w:val="00BD41F8"/>
    <w:rsid w:val="00C015E1"/>
    <w:rsid w:val="00C05798"/>
    <w:rsid w:val="00C424F8"/>
    <w:rsid w:val="00C42D92"/>
    <w:rsid w:val="00C43BF2"/>
    <w:rsid w:val="00C467A9"/>
    <w:rsid w:val="00C52850"/>
    <w:rsid w:val="00C55C4E"/>
    <w:rsid w:val="00C60062"/>
    <w:rsid w:val="00C726C9"/>
    <w:rsid w:val="00C77548"/>
    <w:rsid w:val="00C931D5"/>
    <w:rsid w:val="00CB1025"/>
    <w:rsid w:val="00CB7C0D"/>
    <w:rsid w:val="00CC2A2D"/>
    <w:rsid w:val="00CD5E6A"/>
    <w:rsid w:val="00CD6654"/>
    <w:rsid w:val="00CE5244"/>
    <w:rsid w:val="00CF3F36"/>
    <w:rsid w:val="00CF5C73"/>
    <w:rsid w:val="00CF7FE9"/>
    <w:rsid w:val="00D00B73"/>
    <w:rsid w:val="00D01608"/>
    <w:rsid w:val="00D17E22"/>
    <w:rsid w:val="00D21AED"/>
    <w:rsid w:val="00D34C96"/>
    <w:rsid w:val="00D439BD"/>
    <w:rsid w:val="00D43DB7"/>
    <w:rsid w:val="00D51A3D"/>
    <w:rsid w:val="00D603FC"/>
    <w:rsid w:val="00D60807"/>
    <w:rsid w:val="00D63372"/>
    <w:rsid w:val="00D64E55"/>
    <w:rsid w:val="00D74430"/>
    <w:rsid w:val="00D900E4"/>
    <w:rsid w:val="00D90BC8"/>
    <w:rsid w:val="00D9723A"/>
    <w:rsid w:val="00DA6350"/>
    <w:rsid w:val="00DA6CFE"/>
    <w:rsid w:val="00DB0E36"/>
    <w:rsid w:val="00DB5619"/>
    <w:rsid w:val="00DC199B"/>
    <w:rsid w:val="00DC6189"/>
    <w:rsid w:val="00DE5598"/>
    <w:rsid w:val="00DE6552"/>
    <w:rsid w:val="00DF0931"/>
    <w:rsid w:val="00DF45A9"/>
    <w:rsid w:val="00DF7C6F"/>
    <w:rsid w:val="00E069D5"/>
    <w:rsid w:val="00E14F85"/>
    <w:rsid w:val="00E24DA2"/>
    <w:rsid w:val="00E269CB"/>
    <w:rsid w:val="00E372AB"/>
    <w:rsid w:val="00E449C3"/>
    <w:rsid w:val="00E516A5"/>
    <w:rsid w:val="00E51C8F"/>
    <w:rsid w:val="00E52922"/>
    <w:rsid w:val="00E55F62"/>
    <w:rsid w:val="00E608B3"/>
    <w:rsid w:val="00E65E01"/>
    <w:rsid w:val="00E71566"/>
    <w:rsid w:val="00E92C4A"/>
    <w:rsid w:val="00E94853"/>
    <w:rsid w:val="00EB001F"/>
    <w:rsid w:val="00EB155A"/>
    <w:rsid w:val="00EC4C2C"/>
    <w:rsid w:val="00EC71F5"/>
    <w:rsid w:val="00EE7460"/>
    <w:rsid w:val="00F041C8"/>
    <w:rsid w:val="00F13C44"/>
    <w:rsid w:val="00F2702D"/>
    <w:rsid w:val="00F32ABA"/>
    <w:rsid w:val="00F32D45"/>
    <w:rsid w:val="00F3543C"/>
    <w:rsid w:val="00F42A91"/>
    <w:rsid w:val="00F42AE1"/>
    <w:rsid w:val="00F53B58"/>
    <w:rsid w:val="00F60CE2"/>
    <w:rsid w:val="00F709C5"/>
    <w:rsid w:val="00F71890"/>
    <w:rsid w:val="00F760C8"/>
    <w:rsid w:val="00F76804"/>
    <w:rsid w:val="00F84D09"/>
    <w:rsid w:val="00FC2ABC"/>
    <w:rsid w:val="00FC421B"/>
    <w:rsid w:val="00FC4AFF"/>
    <w:rsid w:val="00FC6232"/>
    <w:rsid w:val="00FD0EA6"/>
    <w:rsid w:val="00FD19DD"/>
    <w:rsid w:val="00FD7603"/>
    <w:rsid w:val="00FE1971"/>
    <w:rsid w:val="00FE374D"/>
    <w:rsid w:val="00FF4081"/>
    <w:rsid w:val="00FF54D6"/>
    <w:rsid w:val="00FF5C81"/>
    <w:rsid w:val="54019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EBCC8B"/>
  <w15:chartTrackingRefBased/>
  <w15:docId w15:val="{1394B34E-EBD5-4225-9531-3D183591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C8"/>
    <w:pPr>
      <w:spacing w:after="120"/>
    </w:pPr>
    <w:rPr>
      <w:rFonts w:ascii="Calibri" w:hAnsi="Calibri"/>
      <w:sz w:val="24"/>
    </w:rPr>
  </w:style>
  <w:style w:type="paragraph" w:styleId="Heading1">
    <w:name w:val="heading 1"/>
    <w:basedOn w:val="Heading2"/>
    <w:next w:val="Normal"/>
    <w:link w:val="Heading1Char"/>
    <w:uiPriority w:val="9"/>
    <w:qFormat/>
    <w:rsid w:val="00014B0B"/>
    <w:pPr>
      <w:numPr>
        <w:numId w:val="0"/>
      </w:numPr>
      <w:outlineLvl w:val="0"/>
    </w:pPr>
  </w:style>
  <w:style w:type="paragraph" w:styleId="Heading2">
    <w:name w:val="heading 2"/>
    <w:basedOn w:val="Normal"/>
    <w:next w:val="Normal"/>
    <w:link w:val="Heading2Char"/>
    <w:uiPriority w:val="9"/>
    <w:unhideWhenUsed/>
    <w:qFormat/>
    <w:rsid w:val="00014B0B"/>
    <w:pPr>
      <w:keepNext/>
      <w:keepLines/>
      <w:numPr>
        <w:numId w:val="10"/>
      </w:numPr>
      <w:pBdr>
        <w:top w:val="single" w:sz="4" w:space="1" w:color="auto"/>
        <w:bottom w:val="single" w:sz="4" w:space="1" w:color="auto"/>
      </w:pBdr>
      <w:spacing w:before="240" w:after="240" w:line="240" w:lineRule="auto"/>
      <w:ind w:left="360"/>
      <w:outlineLvl w:val="1"/>
    </w:pPr>
    <w:rPr>
      <w:rFonts w:ascii="Calibri Light" w:hAnsi="Calibri Light" w:cs="Calibri Light"/>
      <w:b/>
      <w:bCs/>
      <w:color w:val="5B9BD5" w:themeColor="accent1"/>
    </w:rPr>
  </w:style>
  <w:style w:type="paragraph" w:styleId="Heading3">
    <w:name w:val="heading 3"/>
    <w:basedOn w:val="Normal"/>
    <w:next w:val="Normal"/>
    <w:link w:val="Heading3Char"/>
    <w:uiPriority w:val="9"/>
    <w:unhideWhenUsed/>
    <w:rsid w:val="00DF7C6F"/>
    <w:pPr>
      <w:keepNext/>
      <w:keepLines/>
      <w:numPr>
        <w:ilvl w:val="2"/>
        <w:numId w:val="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rsid w:val="00DF7C6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F7C6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F7C6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F7C6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F7C6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7C6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2D45"/>
    <w:pPr>
      <w:pBdr>
        <w:left w:val="double" w:sz="18" w:space="4" w:color="1F4E79" w:themeColor="accent1" w:themeShade="80"/>
      </w:pBdr>
      <w:spacing w:after="0" w:line="420" w:lineRule="exact"/>
    </w:pPr>
    <w:rPr>
      <w:rFonts w:ascii="Calibri Light" w:eastAsiaTheme="majorEastAsia" w:hAnsi="Calibri Light" w:cstheme="majorBidi"/>
      <w:caps/>
      <w:color w:val="1F4E79" w:themeColor="accent1" w:themeShade="80"/>
      <w:kern w:val="28"/>
      <w:sz w:val="32"/>
    </w:rPr>
  </w:style>
  <w:style w:type="character" w:customStyle="1" w:styleId="TitleChar">
    <w:name w:val="Title Char"/>
    <w:basedOn w:val="DefaultParagraphFont"/>
    <w:link w:val="Title"/>
    <w:uiPriority w:val="10"/>
    <w:rsid w:val="00F32D45"/>
    <w:rPr>
      <w:rFonts w:ascii="Calibri Light" w:eastAsiaTheme="majorEastAsia" w:hAnsi="Calibri Light" w:cstheme="majorBidi"/>
      <w:caps/>
      <w:color w:val="1F4E79" w:themeColor="accent1" w:themeShade="80"/>
      <w:kern w:val="28"/>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32D45"/>
    <w:pPr>
      <w:numPr>
        <w:ilvl w:val="1"/>
      </w:numPr>
      <w:pBdr>
        <w:left w:val="double" w:sz="18" w:space="4" w:color="1F4E79" w:themeColor="accent1" w:themeShade="80"/>
      </w:pBdr>
      <w:spacing w:before="80" w:after="0" w:line="280" w:lineRule="exact"/>
      <w:jc w:val="center"/>
    </w:pPr>
    <w:rPr>
      <w:b/>
      <w:bCs/>
      <w:color w:val="5B9BD5" w:themeColor="accent1"/>
      <w:sz w:val="28"/>
    </w:rPr>
  </w:style>
  <w:style w:type="character" w:customStyle="1" w:styleId="SubtitleChar">
    <w:name w:val="Subtitle Char"/>
    <w:basedOn w:val="DefaultParagraphFont"/>
    <w:link w:val="Subtitle"/>
    <w:uiPriority w:val="11"/>
    <w:rsid w:val="00F32D45"/>
    <w:rPr>
      <w:rFonts w:ascii="Calibri" w:hAnsi="Calibri"/>
      <w:b/>
      <w:bCs/>
      <w:color w:val="5B9BD5" w:themeColor="accent1"/>
      <w:sz w:val="28"/>
    </w:rPr>
  </w:style>
  <w:style w:type="character" w:customStyle="1" w:styleId="Heading1Char">
    <w:name w:val="Heading 1 Char"/>
    <w:basedOn w:val="DefaultParagraphFont"/>
    <w:link w:val="Heading1"/>
    <w:uiPriority w:val="9"/>
    <w:rsid w:val="00014B0B"/>
    <w:rPr>
      <w:rFonts w:ascii="Calibri Light" w:hAnsi="Calibri Light" w:cs="Calibri Light"/>
      <w:b/>
      <w:bCs/>
      <w:color w:val="5B9BD5" w:themeColor="accent1"/>
      <w:sz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36"/>
    <w:qFormat/>
    <w:rsid w:val="00451C65"/>
    <w:pPr>
      <w:ind w:left="720"/>
      <w:contextualSpacing/>
    </w:pPr>
  </w:style>
  <w:style w:type="character" w:customStyle="1" w:styleId="Heading2Char">
    <w:name w:val="Heading 2 Char"/>
    <w:basedOn w:val="DefaultParagraphFont"/>
    <w:link w:val="Heading2"/>
    <w:uiPriority w:val="9"/>
    <w:rsid w:val="00014B0B"/>
    <w:rPr>
      <w:rFonts w:ascii="Calibri Light" w:hAnsi="Calibri Light" w:cs="Calibri Light"/>
      <w:b/>
      <w:bCs/>
      <w:color w:val="5B9BD5" w:themeColor="accent1"/>
      <w:sz w:val="24"/>
    </w:rPr>
  </w:style>
  <w:style w:type="paragraph" w:styleId="ListBullet">
    <w:name w:val="List Bullet"/>
    <w:basedOn w:val="Normal"/>
    <w:uiPriority w:val="1"/>
    <w:unhideWhenUsed/>
    <w:qFormat/>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451C65"/>
    <w:pPr>
      <w:numPr>
        <w:numId w:val="9"/>
      </w:numPr>
      <w:contextualSpacing/>
    </w:pPr>
    <w:rPr>
      <w:szCs w:val="24"/>
    </w:rPr>
  </w:style>
  <w:style w:type="character" w:customStyle="1" w:styleId="Heading3Char">
    <w:name w:val="Heading 3 Char"/>
    <w:basedOn w:val="DefaultParagraphFont"/>
    <w:link w:val="Heading3"/>
    <w:uiPriority w:val="9"/>
    <w:rsid w:val="00DF7C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F7C6F"/>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DF7C6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F7C6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F7C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F7C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7C6F"/>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4F47FE"/>
    <w:pPr>
      <w:spacing w:after="100"/>
    </w:pPr>
  </w:style>
  <w:style w:type="character" w:styleId="Hyperlink">
    <w:name w:val="Hyperlink"/>
    <w:basedOn w:val="DefaultParagraphFont"/>
    <w:uiPriority w:val="99"/>
    <w:unhideWhenUsed/>
    <w:rsid w:val="0015030F"/>
    <w:rPr>
      <w:color w:val="40ACD1" w:themeColor="hyperlink"/>
      <w:u w:val="single"/>
    </w:rPr>
  </w:style>
  <w:style w:type="paragraph" w:styleId="TOC2">
    <w:name w:val="toc 2"/>
    <w:basedOn w:val="Normal"/>
    <w:next w:val="Normal"/>
    <w:autoRedefine/>
    <w:uiPriority w:val="39"/>
    <w:unhideWhenUsed/>
    <w:rsid w:val="00A3766B"/>
    <w:pPr>
      <w:tabs>
        <w:tab w:val="left" w:pos="660"/>
        <w:tab w:val="right" w:leader="dot" w:pos="9350"/>
      </w:tabs>
      <w:spacing w:after="100"/>
      <w:ind w:left="240"/>
    </w:pPr>
    <w:rPr>
      <w:noProof/>
      <w:color w:val="auto"/>
    </w:rPr>
  </w:style>
  <w:style w:type="paragraph" w:styleId="BalloonText">
    <w:name w:val="Balloon Text"/>
    <w:basedOn w:val="Normal"/>
    <w:link w:val="BalloonTextChar"/>
    <w:uiPriority w:val="99"/>
    <w:semiHidden/>
    <w:unhideWhenUsed/>
    <w:rsid w:val="00C77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48"/>
    <w:rPr>
      <w:rFonts w:ascii="Segoe UI" w:hAnsi="Segoe UI" w:cs="Segoe UI"/>
      <w:szCs w:val="18"/>
    </w:rPr>
  </w:style>
  <w:style w:type="character" w:styleId="CommentReference">
    <w:name w:val="annotation reference"/>
    <w:basedOn w:val="DefaultParagraphFont"/>
    <w:uiPriority w:val="99"/>
    <w:semiHidden/>
    <w:unhideWhenUsed/>
    <w:rsid w:val="00C77548"/>
    <w:rPr>
      <w:sz w:val="16"/>
      <w:szCs w:val="16"/>
    </w:rPr>
  </w:style>
  <w:style w:type="paragraph" w:styleId="CommentText">
    <w:name w:val="annotation text"/>
    <w:basedOn w:val="Normal"/>
    <w:link w:val="CommentTextChar"/>
    <w:uiPriority w:val="99"/>
    <w:unhideWhenUsed/>
    <w:rsid w:val="00C77548"/>
    <w:pPr>
      <w:spacing w:line="240" w:lineRule="auto"/>
    </w:pPr>
    <w:rPr>
      <w:sz w:val="20"/>
    </w:rPr>
  </w:style>
  <w:style w:type="character" w:customStyle="1" w:styleId="CommentTextChar">
    <w:name w:val="Comment Text Char"/>
    <w:basedOn w:val="DefaultParagraphFont"/>
    <w:link w:val="CommentText"/>
    <w:uiPriority w:val="99"/>
    <w:rsid w:val="00C77548"/>
    <w:rPr>
      <w:rFonts w:ascii="Calibri" w:hAnsi="Calibri"/>
      <w:sz w:val="20"/>
    </w:rPr>
  </w:style>
  <w:style w:type="paragraph" w:styleId="CommentSubject">
    <w:name w:val="annotation subject"/>
    <w:basedOn w:val="CommentText"/>
    <w:next w:val="CommentText"/>
    <w:link w:val="CommentSubjectChar"/>
    <w:uiPriority w:val="99"/>
    <w:semiHidden/>
    <w:unhideWhenUsed/>
    <w:rsid w:val="00C77548"/>
    <w:rPr>
      <w:b/>
      <w:bCs/>
    </w:rPr>
  </w:style>
  <w:style w:type="character" w:customStyle="1" w:styleId="CommentSubjectChar">
    <w:name w:val="Comment Subject Char"/>
    <w:basedOn w:val="CommentTextChar"/>
    <w:link w:val="CommentSubject"/>
    <w:uiPriority w:val="99"/>
    <w:semiHidden/>
    <w:rsid w:val="00C77548"/>
    <w:rPr>
      <w:rFonts w:ascii="Calibri" w:hAnsi="Calibri"/>
      <w:b/>
      <w:bCs/>
      <w:sz w:val="20"/>
    </w:rPr>
  </w:style>
  <w:style w:type="paragraph" w:customStyle="1" w:styleId="xmsonormal">
    <w:name w:val="x_msonormal"/>
    <w:basedOn w:val="Normal"/>
    <w:rsid w:val="005D0D5C"/>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customStyle="1" w:styleId="UnresolvedMention1">
    <w:name w:val="Unresolved Mention1"/>
    <w:basedOn w:val="DefaultParagraphFont"/>
    <w:uiPriority w:val="99"/>
    <w:semiHidden/>
    <w:unhideWhenUsed/>
    <w:rsid w:val="00A47F0A"/>
    <w:rPr>
      <w:color w:val="808080"/>
      <w:shd w:val="clear" w:color="auto" w:fill="E6E6E6"/>
    </w:rPr>
  </w:style>
  <w:style w:type="paragraph" w:customStyle="1" w:styleId="AppendixHeading2">
    <w:name w:val="Appendix Heading 2"/>
    <w:basedOn w:val="Heading1"/>
    <w:link w:val="AppendixHeading2Char"/>
    <w:qFormat/>
    <w:rsid w:val="00E449C3"/>
    <w:pPr>
      <w:numPr>
        <w:numId w:val="22"/>
      </w:numPr>
    </w:pPr>
  </w:style>
  <w:style w:type="character" w:customStyle="1" w:styleId="AppendixHeading2Char">
    <w:name w:val="Appendix Heading 2 Char"/>
    <w:basedOn w:val="Heading2Char"/>
    <w:link w:val="AppendixHeading2"/>
    <w:rsid w:val="00E449C3"/>
    <w:rPr>
      <w:rFonts w:ascii="Calibri Light" w:hAnsi="Calibri Light" w:cs="Calibri Light"/>
      <w:b/>
      <w:bCs/>
      <w:color w:val="5B9BD5" w:themeColor="accent1"/>
      <w:sz w:val="24"/>
    </w:rPr>
  </w:style>
  <w:style w:type="character" w:styleId="FollowedHyperlink">
    <w:name w:val="FollowedHyperlink"/>
    <w:basedOn w:val="DefaultParagraphFont"/>
    <w:uiPriority w:val="99"/>
    <w:semiHidden/>
    <w:unhideWhenUsed/>
    <w:rsid w:val="00040BA0"/>
    <w:rPr>
      <w:color w:val="92588D" w:themeColor="followedHyperlink"/>
      <w:u w:val="single"/>
    </w:rPr>
  </w:style>
  <w:style w:type="paragraph" w:styleId="Revision">
    <w:name w:val="Revision"/>
    <w:hidden/>
    <w:uiPriority w:val="99"/>
    <w:semiHidden/>
    <w:rsid w:val="00A12AD9"/>
    <w:pPr>
      <w:spacing w:after="0" w:line="240" w:lineRule="auto"/>
    </w:pPr>
    <w:rPr>
      <w:rFonts w:ascii="Calibri" w:hAnsi="Calibri"/>
      <w:sz w:val="24"/>
    </w:rPr>
  </w:style>
  <w:style w:type="character" w:styleId="UnresolvedMention">
    <w:name w:val="Unresolved Mention"/>
    <w:basedOn w:val="DefaultParagraphFont"/>
    <w:uiPriority w:val="99"/>
    <w:semiHidden/>
    <w:unhideWhenUsed/>
    <w:rsid w:val="00097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8846">
      <w:bodyDiv w:val="1"/>
      <w:marLeft w:val="0"/>
      <w:marRight w:val="0"/>
      <w:marTop w:val="0"/>
      <w:marBottom w:val="0"/>
      <w:divBdr>
        <w:top w:val="none" w:sz="0" w:space="0" w:color="auto"/>
        <w:left w:val="none" w:sz="0" w:space="0" w:color="auto"/>
        <w:bottom w:val="none" w:sz="0" w:space="0" w:color="auto"/>
        <w:right w:val="none" w:sz="0" w:space="0" w:color="auto"/>
      </w:divBdr>
    </w:div>
    <w:div w:id="1066489766">
      <w:bodyDiv w:val="1"/>
      <w:marLeft w:val="0"/>
      <w:marRight w:val="0"/>
      <w:marTop w:val="0"/>
      <w:marBottom w:val="0"/>
      <w:divBdr>
        <w:top w:val="none" w:sz="0" w:space="0" w:color="auto"/>
        <w:left w:val="none" w:sz="0" w:space="0" w:color="auto"/>
        <w:bottom w:val="none" w:sz="0" w:space="0" w:color="auto"/>
        <w:right w:val="none" w:sz="0" w:space="0" w:color="auto"/>
      </w:divBdr>
    </w:div>
    <w:div w:id="1520196493">
      <w:bodyDiv w:val="1"/>
      <w:marLeft w:val="0"/>
      <w:marRight w:val="0"/>
      <w:marTop w:val="0"/>
      <w:marBottom w:val="0"/>
      <w:divBdr>
        <w:top w:val="none" w:sz="0" w:space="0" w:color="auto"/>
        <w:left w:val="none" w:sz="0" w:space="0" w:color="auto"/>
        <w:bottom w:val="none" w:sz="0" w:space="0" w:color="auto"/>
        <w:right w:val="none" w:sz="0" w:space="0" w:color="auto"/>
      </w:divBdr>
    </w:div>
    <w:div w:id="1722559859">
      <w:bodyDiv w:val="1"/>
      <w:marLeft w:val="0"/>
      <w:marRight w:val="0"/>
      <w:marTop w:val="0"/>
      <w:marBottom w:val="0"/>
      <w:divBdr>
        <w:top w:val="none" w:sz="0" w:space="0" w:color="auto"/>
        <w:left w:val="none" w:sz="0" w:space="0" w:color="auto"/>
        <w:bottom w:val="none" w:sz="0" w:space="0" w:color="auto"/>
        <w:right w:val="none" w:sz="0" w:space="0" w:color="auto"/>
      </w:divBdr>
    </w:div>
    <w:div w:id="17717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urementservices.rutgers.edu/resources/forms" TargetMode="External"/><Relationship Id="rId18" Type="http://schemas.openxmlformats.org/officeDocument/2006/relationships/hyperlink" Target="mailto:cost@finance.rutgers.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ost@finance.rutgers.edu" TargetMode="External"/><Relationship Id="rId17" Type="http://schemas.openxmlformats.org/officeDocument/2006/relationships/hyperlink" Target="https://research.rutgers.edu/researcher-support/research-cores-equipment/become-core-facilit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ores@research.rutgers.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res@ored.rutger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t@finance.rutgers.ed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User\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299F0E46E4B52B69BFF61682CC224"/>
        <w:category>
          <w:name w:val="General"/>
          <w:gallery w:val="placeholder"/>
        </w:category>
        <w:types>
          <w:type w:val="bbPlcHdr"/>
        </w:types>
        <w:behaviors>
          <w:behavior w:val="content"/>
        </w:behaviors>
        <w:guid w:val="{9B939CAE-2F19-4C21-8487-CD749F00EFFD}"/>
      </w:docPartPr>
      <w:docPartBody>
        <w:p w:rsidR="00CA0B1F" w:rsidRDefault="00006A83">
          <w:pPr>
            <w:pStyle w:val="764299F0E46E4B52B69BFF61682CC224"/>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20"/>
    <w:rsid w:val="00006A83"/>
    <w:rsid w:val="00026FE5"/>
    <w:rsid w:val="00125A42"/>
    <w:rsid w:val="00354921"/>
    <w:rsid w:val="0036046F"/>
    <w:rsid w:val="003A65B8"/>
    <w:rsid w:val="005A0CE4"/>
    <w:rsid w:val="005C3B23"/>
    <w:rsid w:val="008600DE"/>
    <w:rsid w:val="00886BD7"/>
    <w:rsid w:val="00A043D4"/>
    <w:rsid w:val="00B76D0A"/>
    <w:rsid w:val="00BB4B5F"/>
    <w:rsid w:val="00C60F54"/>
    <w:rsid w:val="00CA0B1F"/>
    <w:rsid w:val="00CF6720"/>
    <w:rsid w:val="00DB0A89"/>
    <w:rsid w:val="00DE0B7F"/>
    <w:rsid w:val="00FB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4299F0E46E4B52B69BFF61682CC224">
    <w:name w:val="764299F0E46E4B52B69BFF61682CC224"/>
  </w:style>
  <w:style w:type="character" w:styleId="PlaceholderText">
    <w:name w:val="Placeholder Text"/>
    <w:basedOn w:val="DefaultParagraphFont"/>
    <w:uiPriority w:val="99"/>
    <w:semiHidden/>
    <w:rsid w:val="00CA0B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decc168-47fb-4965-8b22-d9e290458568">Procedure Draft</Category>
    <Document_x0020_Date xmlns="5decc168-47fb-4965-8b22-d9e290458568">2018-10-23T04:00:00+00:00</Document_x0020_Date>
    <Document_x0020_received_x0020_from xmlns="5decc168-47fb-4965-8b22-d9e2904585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1317230148E8468887756975EB87BA" ma:contentTypeVersion="5" ma:contentTypeDescription="Create a new document." ma:contentTypeScope="" ma:versionID="97b0750034c9abdb2f190334b42ea2eb">
  <xsd:schema xmlns:xsd="http://www.w3.org/2001/XMLSchema" xmlns:xs="http://www.w3.org/2001/XMLSchema" xmlns:p="http://schemas.microsoft.com/office/2006/metadata/properties" xmlns:ns2="5decc168-47fb-4965-8b22-d9e290458568" targetNamespace="http://schemas.microsoft.com/office/2006/metadata/properties" ma:root="true" ma:fieldsID="6e706d679defedcadcb7cb9333070d19" ns2:_="">
    <xsd:import namespace="5decc168-47fb-4965-8b22-d9e290458568"/>
    <xsd:element name="properties">
      <xsd:complexType>
        <xsd:sequence>
          <xsd:element name="documentManagement">
            <xsd:complexType>
              <xsd:all>
                <xsd:element ref="ns2:MediaServiceMetadata" minOccurs="0"/>
                <xsd:element ref="ns2:MediaServiceFastMetadata" minOccurs="0"/>
                <xsd:element ref="ns2:Category" minOccurs="0"/>
                <xsd:element ref="ns2:Document_x0020_Date" minOccurs="0"/>
                <xsd:element ref="ns2:Document_x0020_received_x0020_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cc168-47fb-4965-8b22-d9e290458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What type of document is this?" ma:format="Dropdown" ma:internalName="Category">
      <xsd:simpleType>
        <xsd:union memberTypes="dms:Text">
          <xsd:simpleType>
            <xsd:restriction base="dms:Choice">
              <xsd:enumeration value="Meeting Notes"/>
              <xsd:enumeration value="Procedure Draft"/>
              <xsd:enumeration value="Supporting Document"/>
              <xsd:enumeration value="PM Document"/>
            </xsd:restriction>
          </xsd:simpleType>
        </xsd:union>
      </xsd:simpleType>
    </xsd:element>
    <xsd:element name="Document_x0020_Date" ma:index="11" nillable="true" ma:displayName="Document Date" ma:default="[today]" ma:description="What is the date of this document?" ma:format="DateOnly" ma:internalName="Document_x0020_Date">
      <xsd:simpleType>
        <xsd:restriction base="dms:DateTime"/>
      </xsd:simpleType>
    </xsd:element>
    <xsd:element name="Document_x0020_received_x0020_from" ma:index="12" nillable="true" ma:displayName="Document received from" ma:description="This document was received from" ma:internalName="Document_x0020_received_x0020_fro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82F5CF7-3106-4B48-94F5-800C269795E3}">
  <ds:schemaRefs>
    <ds:schemaRef ds:uri="5decc168-47fb-4965-8b22-d9e290458568"/>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DDE6F05-4F6D-4D65-962C-D1F6B72F7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cc168-47fb-4965-8b22-d9e29045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84A82-FBA0-46FE-B120-F491C96E0F83}">
  <ds:schemaRefs>
    <ds:schemaRef ds:uri="http://schemas.microsoft.com/sharepoint/v3/contenttype/forms"/>
  </ds:schemaRefs>
</ds:datastoreItem>
</file>

<file path=customXml/itemProps4.xml><?xml version="1.0" encoding="utf-8"?>
<ds:datastoreItem xmlns:ds="http://schemas.openxmlformats.org/officeDocument/2006/customXml" ds:itemID="{06CABBD6-903A-45BD-BF05-4B4F42AE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5</TotalTime>
  <Pages>6</Pages>
  <Words>1759</Words>
  <Characters>10027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Leary</dc:creator>
  <cp:keywords/>
  <cp:lastModifiedBy>A. Chea Smith</cp:lastModifiedBy>
  <cp:revision>2</cp:revision>
  <cp:lastPrinted>2018-10-23T13:29:00Z</cp:lastPrinted>
  <dcterms:created xsi:type="dcterms:W3CDTF">2024-02-20T20:15:00Z</dcterms:created>
  <dcterms:modified xsi:type="dcterms:W3CDTF">2024-02-20T20:15:00Z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y fmtid="{D5CDD505-2E9C-101B-9397-08002B2CF9AE}" pid="3" name="ContentTypeId">
    <vt:lpwstr>0x010100011317230148E8468887756975EB87BA</vt:lpwstr>
  </property>
</Properties>
</file>